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7AA" w:rsidRPr="00E809DB" w:rsidRDefault="006D47AA" w:rsidP="006D47AA">
      <w:pPr>
        <w:pStyle w:val="Stylepapertitle14pt"/>
        <w:spacing w:after="0"/>
        <w:rPr>
          <w:rFonts w:ascii="Garamond" w:hAnsi="Garamond"/>
          <w:b/>
          <w:szCs w:val="24"/>
        </w:rPr>
      </w:pPr>
      <w:r w:rsidRPr="00E809DB">
        <w:rPr>
          <w:rFonts w:ascii="Garamond" w:hAnsi="Garamond"/>
          <w:b/>
          <w:szCs w:val="24"/>
          <w:lang w:val="id-ID"/>
        </w:rPr>
        <w:t>ARTICLE WRITING GUIDELINES</w:t>
      </w:r>
    </w:p>
    <w:p w:rsidR="006D47AA" w:rsidRPr="00E809DB" w:rsidRDefault="006D47AA" w:rsidP="006D47AA">
      <w:pPr>
        <w:pStyle w:val="Stylepapertitle14pt"/>
        <w:spacing w:after="0"/>
        <w:rPr>
          <w:rFonts w:ascii="Garamond" w:hAnsi="Garamond"/>
          <w:b/>
          <w:szCs w:val="24"/>
          <w:lang w:val="id-ID"/>
        </w:rPr>
      </w:pPr>
      <w:r w:rsidRPr="00E809DB">
        <w:rPr>
          <w:rFonts w:ascii="Garamond" w:hAnsi="Garamond"/>
          <w:b/>
          <w:szCs w:val="24"/>
          <w:lang w:val="id-ID"/>
        </w:rPr>
        <w:t xml:space="preserve">EDUCATIVE JOURNAL </w:t>
      </w:r>
      <w:r w:rsidRPr="00E809DB">
        <w:rPr>
          <w:rFonts w:ascii="Garamond" w:hAnsi="Garamond"/>
          <w:b/>
          <w:szCs w:val="24"/>
        </w:rPr>
        <w:t xml:space="preserve">: </w:t>
      </w:r>
      <w:r w:rsidRPr="00E809DB">
        <w:rPr>
          <w:rFonts w:ascii="Garamond" w:hAnsi="Garamond"/>
          <w:b/>
          <w:i/>
          <w:iCs/>
          <w:szCs w:val="24"/>
        </w:rPr>
        <w:t xml:space="preserve">Journal of </w:t>
      </w:r>
      <w:r w:rsidRPr="00E809DB">
        <w:rPr>
          <w:rFonts w:ascii="Garamond" w:hAnsi="Garamond"/>
          <w:b/>
          <w:i/>
          <w:iCs/>
          <w:szCs w:val="24"/>
          <w:lang w:val="id-ID"/>
        </w:rPr>
        <w:t>Education Studies</w:t>
      </w:r>
    </w:p>
    <w:p w:rsidR="006D47AA" w:rsidRPr="00E809DB" w:rsidRDefault="006D47AA" w:rsidP="006D47AA">
      <w:pPr>
        <w:pStyle w:val="Stylepapertitle14pt"/>
        <w:spacing w:after="0"/>
        <w:rPr>
          <w:rFonts w:ascii="Garamond" w:hAnsi="Garamond"/>
          <w:b/>
          <w:szCs w:val="24"/>
        </w:rPr>
      </w:pPr>
    </w:p>
    <w:p w:rsidR="006D47AA" w:rsidRPr="00E809DB" w:rsidRDefault="006D47AA" w:rsidP="006D47AA">
      <w:pPr>
        <w:pStyle w:val="Stylepapertitle14pt"/>
        <w:spacing w:line="276" w:lineRule="auto"/>
        <w:rPr>
          <w:rFonts w:ascii="Garamond" w:hAnsi="Garamond"/>
          <w:b/>
          <w:iCs/>
          <w:szCs w:val="24"/>
        </w:rPr>
      </w:pPr>
      <w:r w:rsidRPr="00E809DB">
        <w:rPr>
          <w:rFonts w:ascii="Garamond" w:hAnsi="Garamond"/>
          <w:b/>
          <w:szCs w:val="24"/>
        </w:rPr>
        <w:t>Parental Social Support as a Predictor of Student Career Adaptability</w:t>
      </w:r>
    </w:p>
    <w:p w:rsidR="006D47AA" w:rsidRPr="00E809DB" w:rsidRDefault="006D47AA" w:rsidP="006D47AA">
      <w:pPr>
        <w:pStyle w:val="Stylepapertitle14pt"/>
        <w:spacing w:after="0"/>
        <w:rPr>
          <w:rFonts w:ascii="Garamond" w:hAnsi="Garamond"/>
          <w:b/>
          <w:bCs/>
          <w:szCs w:val="24"/>
        </w:rPr>
      </w:pPr>
      <w:r w:rsidRPr="00E809DB">
        <w:rPr>
          <w:rFonts w:ascii="Garamond" w:hAnsi="Garamond"/>
          <w:b/>
          <w:bCs/>
          <w:szCs w:val="24"/>
        </w:rPr>
        <w:t>Alfi Rahmi</w:t>
      </w:r>
      <w:r w:rsidRPr="00E809DB">
        <w:rPr>
          <w:rFonts w:ascii="Garamond" w:hAnsi="Garamond"/>
          <w:b/>
          <w:bCs/>
          <w:szCs w:val="24"/>
          <w:lang w:val="id-ID"/>
        </w:rPr>
        <w:t xml:space="preserve"> </w:t>
      </w:r>
    </w:p>
    <w:p w:rsidR="006D47AA" w:rsidRPr="00E809DB" w:rsidRDefault="006D47AA" w:rsidP="006D47AA">
      <w:pPr>
        <w:pStyle w:val="Afiliasi"/>
        <w:spacing w:before="0" w:after="0"/>
        <w:rPr>
          <w:rFonts w:ascii="Garamond" w:hAnsi="Garamond"/>
          <w:i/>
          <w:iCs/>
          <w:sz w:val="24"/>
          <w:szCs w:val="24"/>
          <w:lang w:val="en-US"/>
        </w:rPr>
      </w:pPr>
      <w:r w:rsidRPr="00E809DB">
        <w:rPr>
          <w:rFonts w:ascii="Garamond" w:hAnsi="Garamond"/>
          <w:i/>
          <w:iCs/>
          <w:sz w:val="24"/>
          <w:szCs w:val="24"/>
          <w:lang w:val="en-US"/>
        </w:rPr>
        <w:t>BK FTIK UIN Bukittinggi, Indonesia</w:t>
      </w:r>
    </w:p>
    <w:p w:rsidR="006D47AA" w:rsidRPr="00E809DB" w:rsidRDefault="006D47AA" w:rsidP="006D47AA">
      <w:pPr>
        <w:pStyle w:val="Afiliasi"/>
        <w:spacing w:before="0" w:after="0"/>
        <w:rPr>
          <w:rFonts w:ascii="Garamond" w:hAnsi="Garamond"/>
          <w:i/>
          <w:iCs/>
          <w:sz w:val="24"/>
          <w:szCs w:val="24"/>
          <w:lang w:val="en-US"/>
        </w:rPr>
      </w:pPr>
      <w:r w:rsidRPr="00E809DB">
        <w:rPr>
          <w:rFonts w:ascii="Garamond" w:hAnsi="Garamond"/>
          <w:i/>
          <w:iCs/>
          <w:sz w:val="24"/>
          <w:szCs w:val="24"/>
          <w:lang w:val="en-US"/>
        </w:rPr>
        <w:t>BK UNP Doctoral Program, Indonesia</w:t>
      </w:r>
    </w:p>
    <w:p w:rsidR="006D47AA" w:rsidRDefault="00CC5F5A" w:rsidP="006D47AA">
      <w:pPr>
        <w:pStyle w:val="Afiliasi"/>
        <w:spacing w:before="0" w:after="0"/>
        <w:rPr>
          <w:rFonts w:ascii="Garamond" w:hAnsi="Garamond"/>
          <w:i/>
          <w:iCs/>
          <w:sz w:val="24"/>
          <w:szCs w:val="24"/>
          <w:lang w:val="en-US"/>
        </w:rPr>
      </w:pPr>
      <w:hyperlink r:id="rId9" w:history="1">
        <w:r w:rsidRPr="001609F5">
          <w:rPr>
            <w:rStyle w:val="Hyperlink"/>
            <w:rFonts w:ascii="Garamond" w:hAnsi="Garamond"/>
            <w:i/>
            <w:iCs/>
            <w:sz w:val="24"/>
            <w:szCs w:val="24"/>
            <w:lang w:val="en-US"/>
          </w:rPr>
          <w:t>alfirahmi@iainbukittinggi.ac.id</w:t>
        </w:r>
      </w:hyperlink>
    </w:p>
    <w:p w:rsidR="00CC5F5A" w:rsidRPr="00E809DB" w:rsidRDefault="00CC5F5A" w:rsidP="006D47AA">
      <w:pPr>
        <w:pStyle w:val="Afiliasi"/>
        <w:spacing w:before="0" w:after="0"/>
        <w:rPr>
          <w:rFonts w:ascii="Garamond" w:hAnsi="Garamond"/>
          <w:i/>
          <w:iCs/>
          <w:sz w:val="24"/>
          <w:szCs w:val="24"/>
          <w:lang w:val="en-US"/>
        </w:rPr>
      </w:pPr>
      <w:bookmarkStart w:id="0" w:name="_GoBack"/>
      <w:bookmarkEnd w:id="0"/>
    </w:p>
    <w:p w:rsidR="006D47AA" w:rsidRPr="00E809DB" w:rsidRDefault="006D47AA" w:rsidP="006D47AA">
      <w:pPr>
        <w:pStyle w:val="StyleAuthorBold"/>
        <w:tabs>
          <w:tab w:val="left" w:pos="253"/>
        </w:tabs>
        <w:spacing w:after="0"/>
        <w:rPr>
          <w:rFonts w:ascii="Garamond" w:hAnsi="Garamond"/>
          <w:sz w:val="24"/>
          <w:szCs w:val="24"/>
          <w:lang w:val="id-ID"/>
        </w:rPr>
      </w:pPr>
      <w:r w:rsidRPr="00E809DB">
        <w:rPr>
          <w:rFonts w:ascii="Garamond" w:hAnsi="Garamond"/>
          <w:sz w:val="24"/>
          <w:szCs w:val="24"/>
        </w:rPr>
        <w:t>Firman, Afdal</w:t>
      </w:r>
    </w:p>
    <w:p w:rsidR="006D47AA" w:rsidRPr="00CC5F5A" w:rsidRDefault="006D47AA" w:rsidP="006D47AA">
      <w:pPr>
        <w:pStyle w:val="Afiliasi"/>
        <w:spacing w:after="0"/>
        <w:rPr>
          <w:rFonts w:ascii="Garamond" w:hAnsi="Garamond"/>
          <w:i/>
          <w:iCs/>
          <w:lang w:val="en-US"/>
        </w:rPr>
      </w:pPr>
      <w:r w:rsidRPr="00CC5F5A">
        <w:rPr>
          <w:rFonts w:ascii="Garamond" w:hAnsi="Garamond"/>
          <w:i/>
          <w:iCs/>
          <w:lang w:val="en-US"/>
        </w:rPr>
        <w:t>BK FIP UNP, Indonesia</w:t>
      </w:r>
    </w:p>
    <w:p w:rsidR="006D47AA" w:rsidRPr="00CC5F5A" w:rsidRDefault="00CC5F5A" w:rsidP="00CC5F5A">
      <w:pPr>
        <w:pStyle w:val="Afiliasi"/>
        <w:spacing w:before="0" w:after="0"/>
        <w:rPr>
          <w:rFonts w:ascii="Garamond" w:hAnsi="Garamond"/>
          <w:color w:val="333333"/>
          <w:shd w:val="clear" w:color="auto" w:fill="F9F9F9"/>
        </w:rPr>
      </w:pPr>
      <w:r w:rsidRPr="00CC5F5A">
        <w:rPr>
          <w:rFonts w:ascii="Garamond" w:hAnsi="Garamond"/>
          <w:color w:val="333333"/>
          <w:shd w:val="clear" w:color="auto" w:fill="F9F9F9"/>
        </w:rPr>
        <w:t>firman@konselor.org</w:t>
      </w:r>
      <w:r w:rsidR="006D47AA" w:rsidRPr="00CC5F5A">
        <w:rPr>
          <w:rFonts w:ascii="Garamond" w:hAnsi="Garamond"/>
          <w:i/>
          <w:iCs/>
          <w:lang w:val="en-US"/>
        </w:rPr>
        <w:t xml:space="preserve">, </w:t>
      </w:r>
      <w:hyperlink r:id="rId10" w:history="1">
        <w:r w:rsidRPr="00CC5F5A">
          <w:rPr>
            <w:rStyle w:val="Hyperlink"/>
            <w:rFonts w:ascii="Garamond" w:hAnsi="Garamond"/>
            <w:shd w:val="clear" w:color="auto" w:fill="FFFFFF"/>
          </w:rPr>
          <w:t>afdal@konselor.org</w:t>
        </w:r>
      </w:hyperlink>
    </w:p>
    <w:p w:rsidR="00CC5F5A" w:rsidRPr="00E809DB" w:rsidRDefault="00CC5F5A" w:rsidP="006D47AA">
      <w:pPr>
        <w:pStyle w:val="Afiliasi"/>
        <w:spacing w:before="0" w:after="0"/>
        <w:rPr>
          <w:rFonts w:ascii="Garamond" w:hAnsi="Garamond"/>
          <w:i/>
          <w:iCs/>
          <w:sz w:val="24"/>
          <w:szCs w:val="24"/>
          <w:lang w:val="en-US"/>
        </w:rPr>
      </w:pPr>
    </w:p>
    <w:p w:rsidR="006D47AA" w:rsidRPr="00E809DB" w:rsidRDefault="006D47AA" w:rsidP="006D47AA">
      <w:pPr>
        <w:pStyle w:val="Afiliasi"/>
        <w:spacing w:before="0" w:after="0"/>
        <w:rPr>
          <w:rFonts w:ascii="Garamond" w:hAnsi="Garamond"/>
          <w:i/>
          <w:iCs/>
          <w:sz w:val="24"/>
          <w:szCs w:val="24"/>
          <w:lang w:val="en-US"/>
        </w:rPr>
      </w:pPr>
    </w:p>
    <w:p w:rsidR="006D47AA" w:rsidRPr="00E809DB" w:rsidRDefault="006D47AA" w:rsidP="006D47AA">
      <w:pPr>
        <w:pStyle w:val="Afiliasi"/>
        <w:spacing w:after="0"/>
        <w:rPr>
          <w:rFonts w:ascii="Garamond" w:hAnsi="Garamond"/>
          <w:i/>
          <w:iCs/>
          <w:sz w:val="24"/>
          <w:szCs w:val="24"/>
          <w:lang w:val="en-US"/>
        </w:rPr>
      </w:pPr>
    </w:p>
    <w:p w:rsidR="006D47AA" w:rsidRPr="00E809DB" w:rsidRDefault="006D47AA" w:rsidP="006D47AA">
      <w:pPr>
        <w:pStyle w:val="Afiliasi"/>
        <w:spacing w:after="0"/>
        <w:rPr>
          <w:rFonts w:ascii="Garamond" w:hAnsi="Garamond"/>
          <w:i/>
          <w:iCs/>
          <w:sz w:val="24"/>
          <w:szCs w:val="24"/>
          <w:lang w:val="en-US"/>
        </w:rPr>
      </w:pPr>
      <w:r w:rsidRPr="00E809DB">
        <w:rPr>
          <w:rFonts w:ascii="Garamond" w:hAnsi="Garamond"/>
          <w:i/>
          <w:iCs/>
          <w:sz w:val="24"/>
          <w:szCs w:val="24"/>
          <w:lang w:val="en-US"/>
        </w:rPr>
        <w:drawing>
          <wp:inline distT="0" distB="0" distL="0" distR="0" wp14:anchorId="054BCFF1" wp14:editId="4874FB2F">
            <wp:extent cx="561975" cy="200025"/>
            <wp:effectExtent l="0" t="0" r="9525" b="9525"/>
            <wp:docPr id="1" name="Picture 1"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x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p w:rsidR="006D47AA" w:rsidRPr="00E809DB" w:rsidRDefault="006D47AA" w:rsidP="006D47AA">
      <w:pPr>
        <w:pStyle w:val="Afiliasi"/>
        <w:rPr>
          <w:rFonts w:ascii="Garamond" w:hAnsi="Garamond"/>
          <w:sz w:val="24"/>
          <w:szCs w:val="24"/>
          <w:lang w:val="en-US"/>
        </w:rPr>
      </w:pPr>
      <w:r w:rsidRPr="00E809DB">
        <w:rPr>
          <w:rFonts w:ascii="Garamond" w:hAnsi="Garamond"/>
          <w:sz w:val="24"/>
          <w:szCs w:val="24"/>
          <w:lang w:val="en-US"/>
        </w:rPr>
        <w:t xml:space="preserve">©2020 by the authors. Submitted for possible open access publication under the terms and conditions </w:t>
      </w:r>
      <w:r w:rsidRPr="00E809DB">
        <w:rPr>
          <w:rFonts w:ascii="Garamond" w:hAnsi="Garamond"/>
          <w:sz w:val="24"/>
          <w:szCs w:val="24"/>
          <w:lang w:val="en-US"/>
        </w:rPr>
        <w:br/>
        <w:t>of the Creative Commons Attribution (CC-BY-SA) license (https://creativecommons.org/licenses/by-sa/4.0/)</w:t>
      </w:r>
    </w:p>
    <w:p w:rsidR="006D47AA" w:rsidRPr="00E809DB" w:rsidRDefault="006D47AA" w:rsidP="006D47AA">
      <w:pPr>
        <w:pStyle w:val="Afiliasi"/>
        <w:spacing w:after="0"/>
        <w:rPr>
          <w:rFonts w:ascii="Garamond" w:hAnsi="Garamond"/>
          <w:sz w:val="24"/>
          <w:szCs w:val="24"/>
          <w:lang w:val="en-US"/>
        </w:rPr>
      </w:pPr>
      <w:r w:rsidRPr="00E809DB">
        <w:rPr>
          <w:rFonts w:ascii="Garamond" w:hAnsi="Garamond"/>
          <w:sz w:val="24"/>
          <w:szCs w:val="24"/>
          <w:lang w:val="en-US"/>
        </w:rPr>
        <w:drawing>
          <wp:anchor distT="0" distB="0" distL="114300" distR="114300" simplePos="0" relativeHeight="251659264" behindDoc="0" locked="0" layoutInCell="1" allowOverlap="1" wp14:anchorId="4AD5217A" wp14:editId="6D721245">
            <wp:simplePos x="0" y="0"/>
            <wp:positionH relativeFrom="column">
              <wp:posOffset>1954530</wp:posOffset>
            </wp:positionH>
            <wp:positionV relativeFrom="paragraph">
              <wp:posOffset>-1905</wp:posOffset>
            </wp:positionV>
            <wp:extent cx="114300" cy="120015"/>
            <wp:effectExtent l="0" t="0" r="0" b="0"/>
            <wp:wrapNone/>
            <wp:docPr id="6" name="Picture 2" descr="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9DB">
        <w:rPr>
          <w:rFonts w:ascii="Garamond" w:hAnsi="Garamond"/>
          <w:i/>
          <w:iCs/>
          <w:sz w:val="24"/>
          <w:szCs w:val="24"/>
          <w:lang w:val="en-US"/>
        </w:rPr>
        <w:t xml:space="preserve">DOI : </w:t>
      </w:r>
      <w:hyperlink r:id="rId13" w:history="1">
        <w:r w:rsidRPr="00E809DB">
          <w:rPr>
            <w:rStyle w:val="Hyperlink"/>
            <w:rFonts w:ascii="Garamond" w:hAnsi="Garamond"/>
            <w:sz w:val="24"/>
            <w:szCs w:val="24"/>
          </w:rPr>
          <w:t>http://dx.doi.org/10.30983/educative.v5i1</w:t>
        </w:r>
      </w:hyperlink>
    </w:p>
    <w:p w:rsidR="006D47AA" w:rsidRPr="00E809DB" w:rsidRDefault="006D47AA" w:rsidP="006D47AA">
      <w:pPr>
        <w:pStyle w:val="Afiliasi"/>
        <w:spacing w:after="0"/>
        <w:rPr>
          <w:rFonts w:ascii="Garamond" w:hAnsi="Garamond"/>
          <w:i/>
          <w:iCs/>
          <w:sz w:val="24"/>
          <w:szCs w:val="24"/>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6D47AA" w:rsidRPr="00E809DB" w:rsidTr="00697DB1">
        <w:tc>
          <w:tcPr>
            <w:tcW w:w="2552" w:type="dxa"/>
            <w:shd w:val="clear" w:color="auto" w:fill="auto"/>
          </w:tcPr>
          <w:p w:rsidR="006D47AA" w:rsidRPr="00E809DB" w:rsidRDefault="006D47AA" w:rsidP="00697DB1">
            <w:pPr>
              <w:pStyle w:val="Afiliasi"/>
              <w:spacing w:after="0"/>
              <w:rPr>
                <w:rFonts w:ascii="Garamond" w:eastAsia="Times New Roman" w:hAnsi="Garamond" w:cs="Arial"/>
                <w:i/>
                <w:iCs/>
                <w:sz w:val="24"/>
                <w:szCs w:val="24"/>
                <w:lang w:val="en-US"/>
              </w:rPr>
            </w:pPr>
            <w:r w:rsidRPr="00E809DB">
              <w:rPr>
                <w:rFonts w:ascii="Garamond" w:eastAsia="Times New Roman" w:hAnsi="Garamond" w:cs="Arial"/>
                <w:i/>
                <w:iCs/>
                <w:sz w:val="24"/>
                <w:szCs w:val="24"/>
                <w:lang w:val="en-US"/>
              </w:rPr>
              <w:t>Received: date, month, year</w:t>
            </w:r>
          </w:p>
        </w:tc>
        <w:tc>
          <w:tcPr>
            <w:tcW w:w="2835" w:type="dxa"/>
            <w:shd w:val="clear" w:color="auto" w:fill="auto"/>
          </w:tcPr>
          <w:p w:rsidR="006D47AA" w:rsidRPr="00E809DB" w:rsidRDefault="006D47AA" w:rsidP="00697DB1">
            <w:pPr>
              <w:pStyle w:val="Afiliasi"/>
              <w:spacing w:after="0"/>
              <w:rPr>
                <w:rFonts w:ascii="Garamond" w:eastAsia="Times New Roman" w:hAnsi="Garamond" w:cs="Arial"/>
                <w:i/>
                <w:iCs/>
                <w:sz w:val="24"/>
                <w:szCs w:val="24"/>
                <w:lang w:val="en-US"/>
              </w:rPr>
            </w:pPr>
            <w:r w:rsidRPr="00E809DB">
              <w:rPr>
                <w:rFonts w:ascii="Garamond" w:eastAsia="Times New Roman" w:hAnsi="Garamond" w:cs="Arial"/>
                <w:i/>
                <w:iCs/>
                <w:sz w:val="24"/>
                <w:szCs w:val="24"/>
                <w:lang w:val="en-US"/>
              </w:rPr>
              <w:t>Revised: date, month, year</w:t>
            </w:r>
          </w:p>
        </w:tc>
        <w:tc>
          <w:tcPr>
            <w:tcW w:w="2551" w:type="dxa"/>
            <w:shd w:val="clear" w:color="auto" w:fill="auto"/>
          </w:tcPr>
          <w:p w:rsidR="006D47AA" w:rsidRPr="00E809DB" w:rsidRDefault="006D47AA" w:rsidP="00697DB1">
            <w:pPr>
              <w:pStyle w:val="Afiliasi"/>
              <w:spacing w:after="0"/>
              <w:rPr>
                <w:rFonts w:ascii="Garamond" w:eastAsia="Times New Roman" w:hAnsi="Garamond" w:cs="Arial"/>
                <w:i/>
                <w:iCs/>
                <w:sz w:val="24"/>
                <w:szCs w:val="24"/>
                <w:lang w:val="en-US"/>
              </w:rPr>
            </w:pPr>
            <w:r w:rsidRPr="00E809DB">
              <w:rPr>
                <w:rFonts w:ascii="Garamond" w:eastAsia="Times New Roman" w:hAnsi="Garamond" w:cs="Arial"/>
                <w:i/>
                <w:iCs/>
                <w:sz w:val="24"/>
                <w:szCs w:val="24"/>
                <w:lang w:val="en-US"/>
              </w:rPr>
              <w:t>Published:date month year</w:t>
            </w:r>
          </w:p>
        </w:tc>
      </w:tr>
    </w:tbl>
    <w:p w:rsidR="006D47AA" w:rsidRPr="00E809DB" w:rsidRDefault="006D47AA" w:rsidP="006D47AA">
      <w:pPr>
        <w:pStyle w:val="Afiliasi"/>
        <w:spacing w:after="0"/>
        <w:rPr>
          <w:rFonts w:ascii="Garamond" w:hAnsi="Garamond"/>
          <w:i/>
          <w:iCs/>
          <w:sz w:val="24"/>
          <w:szCs w:val="24"/>
          <w:lang w:val="en-US"/>
        </w:rPr>
      </w:pPr>
    </w:p>
    <w:p w:rsidR="006D47AA" w:rsidRPr="00E809DB" w:rsidRDefault="006D47AA" w:rsidP="006D47AA">
      <w:pPr>
        <w:pStyle w:val="abstrak"/>
        <w:spacing w:before="240" w:after="40"/>
        <w:jc w:val="center"/>
        <w:rPr>
          <w:rFonts w:ascii="Garamond" w:hAnsi="Garamond"/>
          <w:b/>
          <w:bCs/>
          <w:i/>
          <w:iCs/>
          <w:sz w:val="24"/>
        </w:rPr>
      </w:pPr>
      <w:r w:rsidRPr="00E809DB">
        <w:rPr>
          <w:rFonts w:ascii="Garamond" w:hAnsi="Garamond"/>
          <w:b/>
          <w:bCs/>
          <w:i/>
          <w:iCs/>
          <w:sz w:val="24"/>
          <w:lang w:val="id-ID"/>
        </w:rPr>
        <w:t xml:space="preserve">Abstract( </w:t>
      </w:r>
      <w:r w:rsidRPr="00E809DB">
        <w:rPr>
          <w:rFonts w:ascii="Garamond" w:hAnsi="Garamond"/>
          <w:b/>
          <w:bCs/>
          <w:i/>
          <w:iCs/>
          <w:sz w:val="24"/>
        </w:rPr>
        <w:t xml:space="preserve">Garamond </w:t>
      </w:r>
      <w:r w:rsidRPr="00E809DB">
        <w:rPr>
          <w:rFonts w:ascii="Garamond" w:hAnsi="Garamond"/>
          <w:b/>
          <w:bCs/>
          <w:i/>
          <w:iCs/>
          <w:sz w:val="24"/>
          <w:lang w:val="id-ID"/>
        </w:rPr>
        <w:t xml:space="preserve">1 </w:t>
      </w:r>
      <w:r w:rsidRPr="00E809DB">
        <w:rPr>
          <w:rFonts w:ascii="Garamond" w:hAnsi="Garamond"/>
          <w:b/>
          <w:bCs/>
          <w:i/>
          <w:iCs/>
          <w:sz w:val="24"/>
        </w:rPr>
        <w:t xml:space="preserve">2 </w:t>
      </w:r>
      <w:r w:rsidRPr="00E809DB">
        <w:rPr>
          <w:rFonts w:ascii="Garamond" w:hAnsi="Garamond"/>
          <w:b/>
          <w:bCs/>
          <w:i/>
          <w:iCs/>
          <w:sz w:val="24"/>
          <w:lang w:val="id-ID"/>
        </w:rPr>
        <w:t>, Bold, space 1, spacing before 12 pt, after 2 pt)</w:t>
      </w:r>
    </w:p>
    <w:p w:rsidR="006D47AA" w:rsidRPr="00E809DB" w:rsidRDefault="006D47AA" w:rsidP="006D47AA">
      <w:pPr>
        <w:ind w:left="567" w:right="569"/>
        <w:jc w:val="both"/>
        <w:rPr>
          <w:rFonts w:ascii="Garamond" w:hAnsi="Garamond"/>
        </w:rPr>
      </w:pPr>
      <w:proofErr w:type="spellStart"/>
      <w:proofErr w:type="gramStart"/>
      <w:r w:rsidRPr="00E809DB">
        <w:rPr>
          <w:rFonts w:ascii="Garamond" w:hAnsi="Garamond"/>
        </w:rPr>
        <w:t>Keterampilan</w:t>
      </w:r>
      <w:proofErr w:type="spellEnd"/>
      <w:r w:rsidRPr="00E809DB">
        <w:rPr>
          <w:rFonts w:ascii="Garamond" w:hAnsi="Garamond"/>
        </w:rPr>
        <w:t xml:space="preserve"> </w:t>
      </w:r>
      <w:proofErr w:type="spellStart"/>
      <w:r w:rsidRPr="00E809DB">
        <w:rPr>
          <w:rFonts w:ascii="Garamond" w:hAnsi="Garamond"/>
        </w:rPr>
        <w:t>dan</w:t>
      </w:r>
      <w:proofErr w:type="spellEnd"/>
      <w:r w:rsidRPr="00E809DB">
        <w:rPr>
          <w:rFonts w:ascii="Garamond" w:hAnsi="Garamond"/>
        </w:rPr>
        <w:t xml:space="preserve"> </w:t>
      </w:r>
      <w:proofErr w:type="spellStart"/>
      <w:r w:rsidRPr="00E809DB">
        <w:rPr>
          <w:rFonts w:ascii="Garamond" w:hAnsi="Garamond"/>
        </w:rPr>
        <w:t>wawasan</w:t>
      </w:r>
      <w:proofErr w:type="spellEnd"/>
      <w:r w:rsidRPr="00E809DB">
        <w:rPr>
          <w:rFonts w:ascii="Garamond" w:hAnsi="Garamond"/>
        </w:rPr>
        <w:t xml:space="preserve"> </w:t>
      </w:r>
      <w:proofErr w:type="spellStart"/>
      <w:r w:rsidRPr="00E809DB">
        <w:rPr>
          <w:rFonts w:ascii="Garamond" w:hAnsi="Garamond"/>
        </w:rPr>
        <w:t>diperlukan</w:t>
      </w:r>
      <w:proofErr w:type="spellEnd"/>
      <w:r w:rsidRPr="00E809DB">
        <w:rPr>
          <w:rFonts w:ascii="Garamond" w:hAnsi="Garamond"/>
        </w:rPr>
        <w:t xml:space="preserve"> </w:t>
      </w:r>
      <w:proofErr w:type="spellStart"/>
      <w:r w:rsidRPr="00E809DB">
        <w:rPr>
          <w:rFonts w:ascii="Garamond" w:hAnsi="Garamond"/>
        </w:rPr>
        <w:t>untuk</w:t>
      </w:r>
      <w:proofErr w:type="spellEnd"/>
      <w:r w:rsidRPr="00E809DB">
        <w:rPr>
          <w:rFonts w:ascii="Garamond" w:hAnsi="Garamond"/>
        </w:rPr>
        <w:t xml:space="preserve"> </w:t>
      </w:r>
      <w:proofErr w:type="spellStart"/>
      <w:r w:rsidRPr="00E809DB">
        <w:rPr>
          <w:rFonts w:ascii="Garamond" w:hAnsi="Garamond"/>
        </w:rPr>
        <w:t>mempersiapkan</w:t>
      </w:r>
      <w:proofErr w:type="spellEnd"/>
      <w:r w:rsidRPr="00E809DB">
        <w:rPr>
          <w:rFonts w:ascii="Garamond" w:hAnsi="Garamond"/>
        </w:rPr>
        <w:t xml:space="preserve"> </w:t>
      </w:r>
      <w:proofErr w:type="spellStart"/>
      <w:r w:rsidRPr="00E809DB">
        <w:rPr>
          <w:rFonts w:ascii="Garamond" w:hAnsi="Garamond"/>
        </w:rPr>
        <w:t>transisi</w:t>
      </w:r>
      <w:proofErr w:type="spellEnd"/>
      <w:r w:rsidRPr="00E809DB">
        <w:rPr>
          <w:rFonts w:ascii="Garamond" w:hAnsi="Garamond"/>
        </w:rPr>
        <w:t xml:space="preserve"> </w:t>
      </w:r>
      <w:proofErr w:type="spellStart"/>
      <w:r w:rsidRPr="00E809DB">
        <w:rPr>
          <w:rFonts w:ascii="Garamond" w:hAnsi="Garamond"/>
        </w:rPr>
        <w:t>dari</w:t>
      </w:r>
      <w:proofErr w:type="spellEnd"/>
      <w:r w:rsidRPr="00E809DB">
        <w:rPr>
          <w:rFonts w:ascii="Garamond" w:hAnsi="Garamond"/>
        </w:rPr>
        <w:t xml:space="preserve"> </w:t>
      </w:r>
      <w:proofErr w:type="spellStart"/>
      <w:r w:rsidRPr="00E809DB">
        <w:rPr>
          <w:rFonts w:ascii="Garamond" w:hAnsi="Garamond"/>
        </w:rPr>
        <w:t>universitas</w:t>
      </w:r>
      <w:proofErr w:type="spellEnd"/>
      <w:r w:rsidRPr="00E809DB">
        <w:rPr>
          <w:rFonts w:ascii="Garamond" w:hAnsi="Garamond"/>
        </w:rPr>
        <w:t xml:space="preserve"> </w:t>
      </w:r>
      <w:proofErr w:type="spellStart"/>
      <w:r w:rsidRPr="00E809DB">
        <w:rPr>
          <w:rFonts w:ascii="Garamond" w:hAnsi="Garamond"/>
        </w:rPr>
        <w:t>ke</w:t>
      </w:r>
      <w:proofErr w:type="spellEnd"/>
      <w:r w:rsidRPr="00E809DB">
        <w:rPr>
          <w:rFonts w:ascii="Garamond" w:hAnsi="Garamond"/>
        </w:rPr>
        <w:t xml:space="preserve"> </w:t>
      </w:r>
      <w:proofErr w:type="spellStart"/>
      <w:r w:rsidRPr="00E809DB">
        <w:rPr>
          <w:rFonts w:ascii="Garamond" w:hAnsi="Garamond"/>
        </w:rPr>
        <w:t>dunia</w:t>
      </w:r>
      <w:proofErr w:type="spellEnd"/>
      <w:r w:rsidRPr="00E809DB">
        <w:rPr>
          <w:rFonts w:ascii="Garamond" w:hAnsi="Garamond"/>
        </w:rPr>
        <w:t xml:space="preserve"> </w:t>
      </w:r>
      <w:proofErr w:type="spellStart"/>
      <w:r w:rsidRPr="00E809DB">
        <w:rPr>
          <w:rFonts w:ascii="Garamond" w:hAnsi="Garamond"/>
        </w:rPr>
        <w:t>kerja</w:t>
      </w:r>
      <w:proofErr w:type="spellEnd"/>
      <w:r w:rsidRPr="00E809DB">
        <w:rPr>
          <w:rFonts w:ascii="Garamond" w:hAnsi="Garamond"/>
        </w:rPr>
        <w:t>.</w:t>
      </w:r>
      <w:proofErr w:type="gramEnd"/>
      <w:r w:rsidRPr="00E809DB">
        <w:rPr>
          <w:rFonts w:ascii="Garamond" w:hAnsi="Garamond"/>
        </w:rPr>
        <w:t xml:space="preserve"> </w:t>
      </w:r>
      <w:proofErr w:type="gramStart"/>
      <w:r w:rsidRPr="00E809DB">
        <w:rPr>
          <w:rFonts w:ascii="Garamond" w:hAnsi="Garamond"/>
        </w:rPr>
        <w:t xml:space="preserve">Salah </w:t>
      </w:r>
      <w:proofErr w:type="spellStart"/>
      <w:r w:rsidRPr="00E809DB">
        <w:rPr>
          <w:rFonts w:ascii="Garamond" w:hAnsi="Garamond"/>
        </w:rPr>
        <w:t>satu</w:t>
      </w:r>
      <w:proofErr w:type="spellEnd"/>
      <w:r w:rsidRPr="00E809DB">
        <w:rPr>
          <w:rFonts w:ascii="Garamond" w:hAnsi="Garamond"/>
        </w:rPr>
        <w:t xml:space="preserve"> </w:t>
      </w:r>
      <w:proofErr w:type="spellStart"/>
      <w:r w:rsidRPr="00E809DB">
        <w:rPr>
          <w:rFonts w:ascii="Garamond" w:hAnsi="Garamond"/>
        </w:rPr>
        <w:t>sumber</w:t>
      </w:r>
      <w:proofErr w:type="spellEnd"/>
      <w:r w:rsidRPr="00E809DB">
        <w:rPr>
          <w:rFonts w:ascii="Garamond" w:hAnsi="Garamond"/>
        </w:rPr>
        <w:t xml:space="preserve"> </w:t>
      </w:r>
      <w:proofErr w:type="spellStart"/>
      <w:r w:rsidRPr="00E809DB">
        <w:rPr>
          <w:rFonts w:ascii="Garamond" w:hAnsi="Garamond"/>
        </w:rPr>
        <w:t>kesiapan</w:t>
      </w:r>
      <w:proofErr w:type="spellEnd"/>
      <w:r w:rsidRPr="00E809DB">
        <w:rPr>
          <w:rFonts w:ascii="Garamond" w:hAnsi="Garamond"/>
        </w:rPr>
        <w:t xml:space="preserve"> </w:t>
      </w:r>
      <w:proofErr w:type="spellStart"/>
      <w:r w:rsidRPr="00E809DB">
        <w:rPr>
          <w:rFonts w:ascii="Garamond" w:hAnsi="Garamond"/>
        </w:rPr>
        <w:t>memasuki</w:t>
      </w:r>
      <w:proofErr w:type="spellEnd"/>
      <w:r w:rsidRPr="00E809DB">
        <w:rPr>
          <w:rFonts w:ascii="Garamond" w:hAnsi="Garamond"/>
        </w:rPr>
        <w:t xml:space="preserve"> </w:t>
      </w:r>
      <w:proofErr w:type="spellStart"/>
      <w:r w:rsidRPr="00E809DB">
        <w:rPr>
          <w:rFonts w:ascii="Garamond" w:hAnsi="Garamond"/>
        </w:rPr>
        <w:t>dunia</w:t>
      </w:r>
      <w:proofErr w:type="spellEnd"/>
      <w:r w:rsidRPr="00E809DB">
        <w:rPr>
          <w:rFonts w:ascii="Garamond" w:hAnsi="Garamond"/>
        </w:rPr>
        <w:t xml:space="preserve"> </w:t>
      </w:r>
      <w:proofErr w:type="spellStart"/>
      <w:r w:rsidRPr="00E809DB">
        <w:rPr>
          <w:rFonts w:ascii="Garamond" w:hAnsi="Garamond"/>
        </w:rPr>
        <w:t>kerja</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w:t>
      </w:r>
      <w:proofErr w:type="gramEnd"/>
      <w:r w:rsidRPr="00E809DB">
        <w:rPr>
          <w:rFonts w:ascii="Garamond" w:hAnsi="Garamond"/>
        </w:rPr>
        <w:t xml:space="preserve"> </w:t>
      </w:r>
      <w:proofErr w:type="spellStart"/>
      <w:proofErr w:type="gramStart"/>
      <w:r w:rsidRPr="00E809DB">
        <w:rPr>
          <w:rFonts w:ascii="Garamond" w:hAnsi="Garamond"/>
        </w:rPr>
        <w:t>Pendukung</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w:t>
      </w:r>
      <w:proofErr w:type="spellStart"/>
      <w:r w:rsidRPr="00E809DB">
        <w:rPr>
          <w:rFonts w:ascii="Garamond" w:hAnsi="Garamond"/>
        </w:rPr>
        <w:t>utama</w:t>
      </w:r>
      <w:proofErr w:type="spellEnd"/>
      <w:r w:rsidRPr="00E809DB">
        <w:rPr>
          <w:rFonts w:ascii="Garamond" w:hAnsi="Garamond"/>
        </w:rPr>
        <w:t xml:space="preserve"> </w:t>
      </w:r>
      <w:proofErr w:type="spellStart"/>
      <w:r w:rsidRPr="00E809DB">
        <w:rPr>
          <w:rFonts w:ascii="Garamond" w:hAnsi="Garamond"/>
        </w:rPr>
        <w:t>dalam</w:t>
      </w:r>
      <w:proofErr w:type="spellEnd"/>
      <w:r w:rsidRPr="00E809DB">
        <w:rPr>
          <w:rFonts w:ascii="Garamond" w:hAnsi="Garamond"/>
        </w:rPr>
        <w:t xml:space="preserve"> </w:t>
      </w:r>
      <w:proofErr w:type="spellStart"/>
      <w:r w:rsidRPr="00E809DB">
        <w:rPr>
          <w:rFonts w:ascii="Garamond" w:hAnsi="Garamond"/>
        </w:rPr>
        <w:t>mempersiapkan</w:t>
      </w:r>
      <w:proofErr w:type="spellEnd"/>
      <w:r w:rsidRPr="00E809DB">
        <w:rPr>
          <w:rFonts w:ascii="Garamond" w:hAnsi="Garamond"/>
        </w:rPr>
        <w:t xml:space="preserve"> </w:t>
      </w:r>
      <w:proofErr w:type="spellStart"/>
      <w:r w:rsidRPr="00E809DB">
        <w:rPr>
          <w:rFonts w:ascii="Garamond" w:hAnsi="Garamond"/>
        </w:rPr>
        <w:t>diri</w:t>
      </w:r>
      <w:proofErr w:type="spellEnd"/>
      <w:r w:rsidRPr="00E809DB">
        <w:rPr>
          <w:rFonts w:ascii="Garamond" w:hAnsi="Garamond"/>
        </w:rPr>
        <w:t xml:space="preserve"> </w:t>
      </w:r>
      <w:proofErr w:type="spellStart"/>
      <w:r w:rsidRPr="00E809DB">
        <w:rPr>
          <w:rFonts w:ascii="Garamond" w:hAnsi="Garamond"/>
        </w:rPr>
        <w:t>memasuki</w:t>
      </w:r>
      <w:proofErr w:type="spellEnd"/>
      <w:r w:rsidRPr="00E809DB">
        <w:rPr>
          <w:rFonts w:ascii="Garamond" w:hAnsi="Garamond"/>
        </w:rPr>
        <w:t xml:space="preserve"> </w:t>
      </w:r>
      <w:proofErr w:type="spellStart"/>
      <w:r w:rsidRPr="00E809DB">
        <w:rPr>
          <w:rFonts w:ascii="Garamond" w:hAnsi="Garamond"/>
        </w:rPr>
        <w:t>dunia</w:t>
      </w:r>
      <w:proofErr w:type="spellEnd"/>
      <w:r w:rsidRPr="00E809DB">
        <w:rPr>
          <w:rFonts w:ascii="Garamond" w:hAnsi="Garamond"/>
        </w:rPr>
        <w:t xml:space="preserve"> </w:t>
      </w:r>
      <w:proofErr w:type="spellStart"/>
      <w:r w:rsidRPr="00E809DB">
        <w:rPr>
          <w:rFonts w:ascii="Garamond" w:hAnsi="Garamond"/>
        </w:rPr>
        <w:t>kerja</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orang </w:t>
      </w:r>
      <w:proofErr w:type="spellStart"/>
      <w:r w:rsidRPr="00E809DB">
        <w:rPr>
          <w:rFonts w:ascii="Garamond" w:hAnsi="Garamond"/>
        </w:rPr>
        <w:t>tua</w:t>
      </w:r>
      <w:proofErr w:type="spellEnd"/>
      <w:r w:rsidRPr="00E809DB">
        <w:rPr>
          <w:rFonts w:ascii="Garamond" w:hAnsi="Garamond"/>
        </w:rPr>
        <w:t xml:space="preserve"> </w:t>
      </w:r>
      <w:proofErr w:type="spellStart"/>
      <w:r w:rsidRPr="00E809DB">
        <w:rPr>
          <w:rFonts w:ascii="Garamond" w:hAnsi="Garamond"/>
        </w:rPr>
        <w:t>atau</w:t>
      </w:r>
      <w:proofErr w:type="spellEnd"/>
      <w:r w:rsidRPr="00E809DB">
        <w:rPr>
          <w:rFonts w:ascii="Garamond" w:hAnsi="Garamond"/>
        </w:rPr>
        <w:t xml:space="preserve"> </w:t>
      </w:r>
      <w:proofErr w:type="spellStart"/>
      <w:r w:rsidRPr="00E809DB">
        <w:rPr>
          <w:rFonts w:ascii="Garamond" w:hAnsi="Garamond"/>
        </w:rPr>
        <w:t>keluarga</w:t>
      </w:r>
      <w:proofErr w:type="spellEnd"/>
      <w:r w:rsidRPr="00E809DB">
        <w:rPr>
          <w:rFonts w:ascii="Garamond" w:hAnsi="Garamond"/>
        </w:rPr>
        <w:t>.</w:t>
      </w:r>
      <w:proofErr w:type="gramEnd"/>
      <w:r w:rsidRPr="00E809DB">
        <w:rPr>
          <w:rFonts w:ascii="Garamond" w:hAnsi="Garamond"/>
        </w:rPr>
        <w:t xml:space="preserve"> </w:t>
      </w:r>
      <w:proofErr w:type="gramStart"/>
      <w:r w:rsidRPr="00E809DB">
        <w:rPr>
          <w:rFonts w:ascii="Garamond" w:hAnsi="Garamond"/>
        </w:rPr>
        <w:t xml:space="preserve">Salah </w:t>
      </w:r>
      <w:proofErr w:type="spellStart"/>
      <w:r w:rsidRPr="00E809DB">
        <w:rPr>
          <w:rFonts w:ascii="Garamond" w:hAnsi="Garamond"/>
        </w:rPr>
        <w:t>satu</w:t>
      </w:r>
      <w:proofErr w:type="spellEnd"/>
      <w:r w:rsidRPr="00E809DB">
        <w:rPr>
          <w:rFonts w:ascii="Garamond" w:hAnsi="Garamond"/>
        </w:rPr>
        <w:t xml:space="preserve"> </w:t>
      </w:r>
      <w:proofErr w:type="spellStart"/>
      <w:r w:rsidRPr="00E809DB">
        <w:rPr>
          <w:rFonts w:ascii="Garamond" w:hAnsi="Garamond"/>
        </w:rPr>
        <w:t>faktor</w:t>
      </w:r>
      <w:proofErr w:type="spellEnd"/>
      <w:r w:rsidRPr="00E809DB">
        <w:rPr>
          <w:rFonts w:ascii="Garamond" w:hAnsi="Garamond"/>
        </w:rPr>
        <w:t xml:space="preserve"> </w:t>
      </w:r>
      <w:proofErr w:type="spellStart"/>
      <w:r w:rsidRPr="00E809DB">
        <w:rPr>
          <w:rFonts w:ascii="Garamond" w:hAnsi="Garamond"/>
        </w:rPr>
        <w:t>eksternal</w:t>
      </w:r>
      <w:proofErr w:type="spellEnd"/>
      <w:r w:rsidRPr="00E809DB">
        <w:rPr>
          <w:rFonts w:ascii="Garamond" w:hAnsi="Garamond"/>
        </w:rPr>
        <w:t xml:space="preserve"> yang </w:t>
      </w:r>
      <w:proofErr w:type="spellStart"/>
      <w:r w:rsidRPr="00E809DB">
        <w:rPr>
          <w:rFonts w:ascii="Garamond" w:hAnsi="Garamond"/>
        </w:rPr>
        <w:t>juga</w:t>
      </w:r>
      <w:proofErr w:type="spellEnd"/>
      <w:r w:rsidRPr="00E809DB">
        <w:rPr>
          <w:rFonts w:ascii="Garamond" w:hAnsi="Garamond"/>
        </w:rPr>
        <w:t xml:space="preserve"> </w:t>
      </w:r>
      <w:proofErr w:type="spellStart"/>
      <w:r w:rsidRPr="00E809DB">
        <w:rPr>
          <w:rFonts w:ascii="Garamond" w:hAnsi="Garamond"/>
        </w:rPr>
        <w:t>mendukung</w:t>
      </w:r>
      <w:proofErr w:type="spellEnd"/>
      <w:r w:rsidRPr="00E809DB">
        <w:rPr>
          <w:rFonts w:ascii="Garamond" w:hAnsi="Garamond"/>
        </w:rPr>
        <w:t xml:space="preserve"> </w:t>
      </w:r>
      <w:proofErr w:type="spellStart"/>
      <w:r w:rsidRPr="00E809DB">
        <w:rPr>
          <w:rFonts w:ascii="Garamond" w:hAnsi="Garamond"/>
        </w:rPr>
        <w:t>pilihan</w:t>
      </w:r>
      <w:proofErr w:type="spellEnd"/>
      <w:r w:rsidRPr="00E809DB">
        <w:rPr>
          <w:rFonts w:ascii="Garamond" w:hAnsi="Garamond"/>
        </w:rPr>
        <w:t xml:space="preserve"> </w:t>
      </w:r>
      <w:proofErr w:type="spellStart"/>
      <w:r w:rsidRPr="00E809DB">
        <w:rPr>
          <w:rFonts w:ascii="Garamond" w:hAnsi="Garamond"/>
        </w:rPr>
        <w:t>karir</w:t>
      </w:r>
      <w:proofErr w:type="spellEnd"/>
      <w:r w:rsidRPr="00E809DB">
        <w:rPr>
          <w:rFonts w:ascii="Garamond" w:hAnsi="Garamond"/>
        </w:rPr>
        <w:t xml:space="preserve"> </w:t>
      </w:r>
      <w:proofErr w:type="spellStart"/>
      <w:r w:rsidRPr="00E809DB">
        <w:rPr>
          <w:rFonts w:ascii="Garamond" w:hAnsi="Garamond"/>
        </w:rPr>
        <w:t>pada</w:t>
      </w:r>
      <w:proofErr w:type="spellEnd"/>
      <w:r w:rsidRPr="00E809DB">
        <w:rPr>
          <w:rFonts w:ascii="Garamond" w:hAnsi="Garamond"/>
        </w:rPr>
        <w:t xml:space="preserve"> </w:t>
      </w:r>
      <w:proofErr w:type="spellStart"/>
      <w:r w:rsidRPr="00E809DB">
        <w:rPr>
          <w:rFonts w:ascii="Garamond" w:hAnsi="Garamond"/>
        </w:rPr>
        <w:t>siswa</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w:t>
      </w:r>
      <w:proofErr w:type="spellStart"/>
      <w:r w:rsidRPr="00E809DB">
        <w:rPr>
          <w:rFonts w:ascii="Garamond" w:hAnsi="Garamond"/>
        </w:rPr>
        <w:t>dari</w:t>
      </w:r>
      <w:proofErr w:type="spellEnd"/>
      <w:r w:rsidRPr="00E809DB">
        <w:rPr>
          <w:rFonts w:ascii="Garamond" w:hAnsi="Garamond"/>
        </w:rPr>
        <w:t xml:space="preserve"> orang </w:t>
      </w:r>
      <w:proofErr w:type="spellStart"/>
      <w:r w:rsidRPr="00E809DB">
        <w:rPr>
          <w:rFonts w:ascii="Garamond" w:hAnsi="Garamond"/>
        </w:rPr>
        <w:t>tua</w:t>
      </w:r>
      <w:proofErr w:type="spellEnd"/>
      <w:r w:rsidRPr="00E809DB">
        <w:rPr>
          <w:rFonts w:ascii="Garamond" w:hAnsi="Garamond"/>
        </w:rPr>
        <w:t>.</w:t>
      </w:r>
      <w:proofErr w:type="gramEnd"/>
      <w:r w:rsidRPr="00E809DB">
        <w:rPr>
          <w:rFonts w:ascii="Garamond" w:hAnsi="Garamond"/>
        </w:rPr>
        <w:t xml:space="preserve"> </w:t>
      </w:r>
      <w:proofErr w:type="spellStart"/>
      <w:r w:rsidRPr="00E809DB">
        <w:rPr>
          <w:rFonts w:ascii="Garamond" w:hAnsi="Garamond"/>
        </w:rPr>
        <w:t>Penelitian</w:t>
      </w:r>
      <w:proofErr w:type="spellEnd"/>
      <w:r w:rsidRPr="00E809DB">
        <w:rPr>
          <w:rFonts w:ascii="Garamond" w:hAnsi="Garamond"/>
        </w:rPr>
        <w:t xml:space="preserve"> </w:t>
      </w:r>
      <w:proofErr w:type="spellStart"/>
      <w:r w:rsidRPr="00E809DB">
        <w:rPr>
          <w:rFonts w:ascii="Garamond" w:hAnsi="Garamond"/>
        </w:rPr>
        <w:t>ini</w:t>
      </w:r>
      <w:proofErr w:type="spellEnd"/>
      <w:r w:rsidRPr="00E809DB">
        <w:rPr>
          <w:rFonts w:ascii="Garamond" w:hAnsi="Garamond"/>
        </w:rPr>
        <w:t xml:space="preserve"> </w:t>
      </w:r>
      <w:proofErr w:type="spellStart"/>
      <w:r w:rsidRPr="00E809DB">
        <w:rPr>
          <w:rFonts w:ascii="Garamond" w:hAnsi="Garamond"/>
        </w:rPr>
        <w:t>bertujuan</w:t>
      </w:r>
      <w:proofErr w:type="spellEnd"/>
      <w:r w:rsidRPr="00E809DB">
        <w:rPr>
          <w:rFonts w:ascii="Garamond" w:hAnsi="Garamond"/>
        </w:rPr>
        <w:t xml:space="preserve"> </w:t>
      </w:r>
      <w:proofErr w:type="spellStart"/>
      <w:r w:rsidRPr="00E809DB">
        <w:rPr>
          <w:rFonts w:ascii="Garamond" w:hAnsi="Garamond"/>
        </w:rPr>
        <w:t>untuk</w:t>
      </w:r>
      <w:proofErr w:type="spellEnd"/>
      <w:r w:rsidRPr="00E809DB">
        <w:rPr>
          <w:rFonts w:ascii="Garamond" w:hAnsi="Garamond"/>
        </w:rPr>
        <w:t xml:space="preserve"> </w:t>
      </w:r>
      <w:proofErr w:type="spellStart"/>
      <w:r w:rsidRPr="00E809DB">
        <w:rPr>
          <w:rFonts w:ascii="Garamond" w:hAnsi="Garamond"/>
        </w:rPr>
        <w:t>mendeskripsikan</w:t>
      </w:r>
      <w:proofErr w:type="spellEnd"/>
      <w:r w:rsidRPr="00E809DB">
        <w:rPr>
          <w:rFonts w:ascii="Garamond" w:hAnsi="Garamond"/>
        </w:rPr>
        <w:t xml:space="preserve"> </w:t>
      </w:r>
      <w:proofErr w:type="spellStart"/>
      <w:r w:rsidRPr="00E809DB">
        <w:rPr>
          <w:rFonts w:ascii="Garamond" w:hAnsi="Garamond"/>
        </w:rPr>
        <w:t>bentuk</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yang </w:t>
      </w:r>
      <w:proofErr w:type="spellStart"/>
      <w:r w:rsidRPr="00E809DB">
        <w:rPr>
          <w:rFonts w:ascii="Garamond" w:hAnsi="Garamond"/>
        </w:rPr>
        <w:t>diterima</w:t>
      </w:r>
      <w:proofErr w:type="spellEnd"/>
      <w:r w:rsidRPr="00E809DB">
        <w:rPr>
          <w:rFonts w:ascii="Garamond" w:hAnsi="Garamond"/>
        </w:rPr>
        <w:t xml:space="preserve"> </w:t>
      </w:r>
      <w:proofErr w:type="spellStart"/>
      <w:r w:rsidRPr="00E809DB">
        <w:rPr>
          <w:rFonts w:ascii="Garamond" w:hAnsi="Garamond"/>
        </w:rPr>
        <w:t>siswa</w:t>
      </w:r>
      <w:proofErr w:type="spellEnd"/>
      <w:r w:rsidRPr="00E809DB">
        <w:rPr>
          <w:rFonts w:ascii="Garamond" w:hAnsi="Garamond"/>
        </w:rPr>
        <w:t xml:space="preserve"> </w:t>
      </w:r>
      <w:proofErr w:type="spellStart"/>
      <w:r w:rsidRPr="00E809DB">
        <w:rPr>
          <w:rFonts w:ascii="Garamond" w:hAnsi="Garamond"/>
        </w:rPr>
        <w:t>dari</w:t>
      </w:r>
      <w:proofErr w:type="spellEnd"/>
      <w:r w:rsidRPr="00E809DB">
        <w:rPr>
          <w:rFonts w:ascii="Garamond" w:hAnsi="Garamond"/>
        </w:rPr>
        <w:t xml:space="preserve"> orang </w:t>
      </w:r>
      <w:proofErr w:type="spellStart"/>
      <w:r w:rsidRPr="00E809DB">
        <w:rPr>
          <w:rFonts w:ascii="Garamond" w:hAnsi="Garamond"/>
        </w:rPr>
        <w:t>tuanya</w:t>
      </w:r>
      <w:proofErr w:type="spellEnd"/>
      <w:r w:rsidRPr="00E809DB">
        <w:rPr>
          <w:rFonts w:ascii="Garamond" w:hAnsi="Garamond"/>
        </w:rPr>
        <w:t xml:space="preserve"> </w:t>
      </w:r>
      <w:proofErr w:type="spellStart"/>
      <w:r w:rsidRPr="00E809DB">
        <w:rPr>
          <w:rFonts w:ascii="Garamond" w:hAnsi="Garamond"/>
        </w:rPr>
        <w:t>sebagai</w:t>
      </w:r>
      <w:proofErr w:type="spellEnd"/>
      <w:r w:rsidRPr="00E809DB">
        <w:rPr>
          <w:rFonts w:ascii="Garamond" w:hAnsi="Garamond"/>
        </w:rPr>
        <w:t xml:space="preserve"> </w:t>
      </w:r>
      <w:proofErr w:type="spellStart"/>
      <w:r w:rsidRPr="00E809DB">
        <w:rPr>
          <w:rFonts w:ascii="Garamond" w:hAnsi="Garamond"/>
        </w:rPr>
        <w:t>bentuk</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w:t>
      </w:r>
      <w:proofErr w:type="spellStart"/>
      <w:r w:rsidRPr="00E809DB">
        <w:rPr>
          <w:rFonts w:ascii="Garamond" w:hAnsi="Garamond"/>
        </w:rPr>
        <w:t>dalam</w:t>
      </w:r>
      <w:proofErr w:type="spellEnd"/>
      <w:r w:rsidRPr="00E809DB">
        <w:rPr>
          <w:rFonts w:ascii="Garamond" w:hAnsi="Garamond"/>
        </w:rPr>
        <w:t xml:space="preserve"> </w:t>
      </w:r>
      <w:proofErr w:type="spellStart"/>
      <w:r w:rsidRPr="00E809DB">
        <w:rPr>
          <w:rFonts w:ascii="Garamond" w:hAnsi="Garamond"/>
        </w:rPr>
        <w:t>memilih</w:t>
      </w:r>
      <w:proofErr w:type="spellEnd"/>
      <w:r w:rsidRPr="00E809DB">
        <w:rPr>
          <w:rFonts w:ascii="Garamond" w:hAnsi="Garamond"/>
        </w:rPr>
        <w:t xml:space="preserve"> </w:t>
      </w:r>
      <w:proofErr w:type="spellStart"/>
      <w:r w:rsidRPr="00E809DB">
        <w:rPr>
          <w:rFonts w:ascii="Garamond" w:hAnsi="Garamond"/>
        </w:rPr>
        <w:t>karir</w:t>
      </w:r>
      <w:proofErr w:type="spellEnd"/>
      <w:r w:rsidRPr="00E809DB">
        <w:rPr>
          <w:rFonts w:ascii="Garamond" w:hAnsi="Garamond"/>
        </w:rPr>
        <w:t xml:space="preserve"> </w:t>
      </w:r>
      <w:proofErr w:type="spellStart"/>
      <w:r w:rsidRPr="00E809DB">
        <w:rPr>
          <w:rFonts w:ascii="Garamond" w:hAnsi="Garamond"/>
        </w:rPr>
        <w:t>masa</w:t>
      </w:r>
      <w:proofErr w:type="spellEnd"/>
      <w:r w:rsidRPr="00E809DB">
        <w:rPr>
          <w:rFonts w:ascii="Garamond" w:hAnsi="Garamond"/>
        </w:rPr>
        <w:t xml:space="preserve"> </w:t>
      </w:r>
      <w:proofErr w:type="spellStart"/>
      <w:r w:rsidRPr="00E809DB">
        <w:rPr>
          <w:rFonts w:ascii="Garamond" w:hAnsi="Garamond"/>
        </w:rPr>
        <w:t>depan</w:t>
      </w:r>
      <w:proofErr w:type="spellEnd"/>
      <w:r w:rsidRPr="00E809DB">
        <w:rPr>
          <w:rFonts w:ascii="Garamond" w:hAnsi="Garamond"/>
        </w:rPr>
        <w:t xml:space="preserve"> </w:t>
      </w:r>
      <w:proofErr w:type="spellStart"/>
      <w:r w:rsidRPr="00E809DB">
        <w:rPr>
          <w:rFonts w:ascii="Garamond" w:hAnsi="Garamond"/>
        </w:rPr>
        <w:t>siswa</w:t>
      </w:r>
      <w:proofErr w:type="spellEnd"/>
      <w:r w:rsidRPr="00E809DB">
        <w:rPr>
          <w:rFonts w:ascii="Garamond" w:hAnsi="Garamond"/>
        </w:rPr>
        <w:t xml:space="preserve">. </w:t>
      </w:r>
      <w:proofErr w:type="spellStart"/>
      <w:proofErr w:type="gramStart"/>
      <w:r w:rsidRPr="00E809DB">
        <w:rPr>
          <w:rFonts w:ascii="Garamond" w:hAnsi="Garamond"/>
        </w:rPr>
        <w:t>Jenis</w:t>
      </w:r>
      <w:proofErr w:type="spellEnd"/>
      <w:r w:rsidRPr="00E809DB">
        <w:rPr>
          <w:rFonts w:ascii="Garamond" w:hAnsi="Garamond"/>
        </w:rPr>
        <w:t xml:space="preserve"> </w:t>
      </w:r>
      <w:proofErr w:type="spellStart"/>
      <w:r w:rsidRPr="00E809DB">
        <w:rPr>
          <w:rFonts w:ascii="Garamond" w:hAnsi="Garamond"/>
        </w:rPr>
        <w:t>penelitian</w:t>
      </w:r>
      <w:proofErr w:type="spellEnd"/>
      <w:r w:rsidRPr="00E809DB">
        <w:rPr>
          <w:rFonts w:ascii="Garamond" w:hAnsi="Garamond"/>
        </w:rPr>
        <w:t xml:space="preserve"> </w:t>
      </w:r>
      <w:proofErr w:type="spellStart"/>
      <w:r w:rsidRPr="00E809DB">
        <w:rPr>
          <w:rFonts w:ascii="Garamond" w:hAnsi="Garamond"/>
        </w:rPr>
        <w:t>ini</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w:t>
      </w:r>
      <w:proofErr w:type="spellStart"/>
      <w:r w:rsidRPr="00E809DB">
        <w:rPr>
          <w:rFonts w:ascii="Garamond" w:hAnsi="Garamond"/>
        </w:rPr>
        <w:t>deskriptif</w:t>
      </w:r>
      <w:proofErr w:type="spellEnd"/>
      <w:r w:rsidRPr="00E809DB">
        <w:rPr>
          <w:rFonts w:ascii="Garamond" w:hAnsi="Garamond"/>
        </w:rPr>
        <w:t xml:space="preserve"> </w:t>
      </w:r>
      <w:proofErr w:type="spellStart"/>
      <w:r w:rsidRPr="00E809DB">
        <w:rPr>
          <w:rFonts w:ascii="Garamond" w:hAnsi="Garamond"/>
        </w:rPr>
        <w:t>kuantitatif</w:t>
      </w:r>
      <w:proofErr w:type="spellEnd"/>
      <w:r w:rsidRPr="00E809DB">
        <w:rPr>
          <w:rFonts w:ascii="Garamond" w:hAnsi="Garamond"/>
        </w:rPr>
        <w:t xml:space="preserve"> </w:t>
      </w:r>
      <w:proofErr w:type="spellStart"/>
      <w:r w:rsidRPr="00E809DB">
        <w:rPr>
          <w:rFonts w:ascii="Garamond" w:hAnsi="Garamond"/>
        </w:rPr>
        <w:t>dengan</w:t>
      </w:r>
      <w:proofErr w:type="spellEnd"/>
      <w:r w:rsidRPr="00E809DB">
        <w:rPr>
          <w:rFonts w:ascii="Garamond" w:hAnsi="Garamond"/>
        </w:rPr>
        <w:t xml:space="preserve"> </w:t>
      </w:r>
      <w:proofErr w:type="spellStart"/>
      <w:r w:rsidRPr="00E809DB">
        <w:rPr>
          <w:rFonts w:ascii="Garamond" w:hAnsi="Garamond"/>
        </w:rPr>
        <w:t>teknik</w:t>
      </w:r>
      <w:proofErr w:type="spellEnd"/>
      <w:r w:rsidRPr="00E809DB">
        <w:rPr>
          <w:rFonts w:ascii="Garamond" w:hAnsi="Garamond"/>
        </w:rPr>
        <w:t xml:space="preserve"> </w:t>
      </w:r>
      <w:proofErr w:type="spellStart"/>
      <w:r w:rsidRPr="00E809DB">
        <w:rPr>
          <w:rFonts w:ascii="Garamond" w:hAnsi="Garamond"/>
        </w:rPr>
        <w:t>analisis</w:t>
      </w:r>
      <w:proofErr w:type="spellEnd"/>
      <w:r w:rsidRPr="00E809DB">
        <w:rPr>
          <w:rFonts w:ascii="Garamond" w:hAnsi="Garamond"/>
        </w:rPr>
        <w:t xml:space="preserve"> data </w:t>
      </w:r>
      <w:proofErr w:type="spellStart"/>
      <w:r w:rsidRPr="00E809DB">
        <w:rPr>
          <w:rFonts w:ascii="Garamond" w:hAnsi="Garamond"/>
        </w:rPr>
        <w:t>persentase</w:t>
      </w:r>
      <w:proofErr w:type="spellEnd"/>
      <w:r w:rsidRPr="00E809DB">
        <w:rPr>
          <w:rFonts w:ascii="Garamond" w:hAnsi="Garamond"/>
        </w:rPr>
        <w:t>.</w:t>
      </w:r>
      <w:proofErr w:type="gramEnd"/>
      <w:r w:rsidRPr="00E809DB">
        <w:rPr>
          <w:rFonts w:ascii="Garamond" w:hAnsi="Garamond"/>
        </w:rPr>
        <w:t xml:space="preserve"> </w:t>
      </w:r>
      <w:proofErr w:type="spellStart"/>
      <w:r w:rsidRPr="00E809DB">
        <w:rPr>
          <w:rFonts w:ascii="Garamond" w:hAnsi="Garamond"/>
        </w:rPr>
        <w:t>Populasinya</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w:t>
      </w:r>
      <w:proofErr w:type="spellStart"/>
      <w:r w:rsidRPr="00E809DB">
        <w:rPr>
          <w:rFonts w:ascii="Garamond" w:hAnsi="Garamond"/>
        </w:rPr>
        <w:t>siswa</w:t>
      </w:r>
      <w:proofErr w:type="spellEnd"/>
      <w:r w:rsidRPr="00E809DB">
        <w:rPr>
          <w:rFonts w:ascii="Garamond" w:hAnsi="Garamond"/>
        </w:rPr>
        <w:t xml:space="preserve"> BK </w:t>
      </w:r>
      <w:proofErr w:type="spellStart"/>
      <w:r w:rsidRPr="00E809DB">
        <w:rPr>
          <w:rFonts w:ascii="Garamond" w:hAnsi="Garamond"/>
        </w:rPr>
        <w:t>tingkat</w:t>
      </w:r>
      <w:proofErr w:type="spellEnd"/>
      <w:r w:rsidRPr="00E809DB">
        <w:rPr>
          <w:rFonts w:ascii="Garamond" w:hAnsi="Garamond"/>
        </w:rPr>
        <w:t xml:space="preserve"> </w:t>
      </w:r>
      <w:proofErr w:type="spellStart"/>
      <w:r w:rsidRPr="00E809DB">
        <w:rPr>
          <w:rFonts w:ascii="Garamond" w:hAnsi="Garamond"/>
        </w:rPr>
        <w:t>akhir</w:t>
      </w:r>
      <w:proofErr w:type="spellEnd"/>
      <w:r w:rsidRPr="00E809DB">
        <w:rPr>
          <w:rFonts w:ascii="Garamond" w:hAnsi="Garamond"/>
        </w:rPr>
        <w:t xml:space="preserve"> yang </w:t>
      </w:r>
      <w:proofErr w:type="spellStart"/>
      <w:r w:rsidRPr="00E809DB">
        <w:rPr>
          <w:rFonts w:ascii="Garamond" w:hAnsi="Garamond"/>
        </w:rPr>
        <w:t>berjumlah</w:t>
      </w:r>
      <w:proofErr w:type="spellEnd"/>
      <w:r w:rsidRPr="00E809DB">
        <w:rPr>
          <w:rFonts w:ascii="Garamond" w:hAnsi="Garamond"/>
        </w:rPr>
        <w:t xml:space="preserve"> 95 orang </w:t>
      </w:r>
      <w:proofErr w:type="spellStart"/>
      <w:r w:rsidRPr="00E809DB">
        <w:rPr>
          <w:rFonts w:ascii="Garamond" w:hAnsi="Garamond"/>
        </w:rPr>
        <w:t>dengan</w:t>
      </w:r>
      <w:proofErr w:type="spellEnd"/>
      <w:r w:rsidRPr="00E809DB">
        <w:rPr>
          <w:rFonts w:ascii="Garamond" w:hAnsi="Garamond"/>
        </w:rPr>
        <w:t xml:space="preserve"> </w:t>
      </w:r>
      <w:proofErr w:type="spellStart"/>
      <w:r w:rsidRPr="00E809DB">
        <w:rPr>
          <w:rFonts w:ascii="Garamond" w:hAnsi="Garamond"/>
        </w:rPr>
        <w:t>teknik</w:t>
      </w:r>
      <w:proofErr w:type="spellEnd"/>
      <w:r w:rsidRPr="00E809DB">
        <w:rPr>
          <w:rFonts w:ascii="Garamond" w:hAnsi="Garamond"/>
        </w:rPr>
        <w:t xml:space="preserve"> total sampling. </w:t>
      </w:r>
      <w:proofErr w:type="spellStart"/>
      <w:r w:rsidRPr="00E809DB">
        <w:rPr>
          <w:rFonts w:ascii="Garamond" w:hAnsi="Garamond"/>
        </w:rPr>
        <w:t>Hasil</w:t>
      </w:r>
      <w:proofErr w:type="spellEnd"/>
      <w:r w:rsidRPr="00E809DB">
        <w:rPr>
          <w:rFonts w:ascii="Garamond" w:hAnsi="Garamond"/>
        </w:rPr>
        <w:t xml:space="preserve"> </w:t>
      </w:r>
      <w:proofErr w:type="spellStart"/>
      <w:r w:rsidRPr="00E809DB">
        <w:rPr>
          <w:rFonts w:ascii="Garamond" w:hAnsi="Garamond"/>
        </w:rPr>
        <w:t>penelitian</w:t>
      </w:r>
      <w:proofErr w:type="spellEnd"/>
      <w:r w:rsidRPr="00E809DB">
        <w:rPr>
          <w:rFonts w:ascii="Garamond" w:hAnsi="Garamond"/>
        </w:rPr>
        <w:t xml:space="preserve"> </w:t>
      </w:r>
      <w:proofErr w:type="spellStart"/>
      <w:r w:rsidRPr="00E809DB">
        <w:rPr>
          <w:rFonts w:ascii="Garamond" w:hAnsi="Garamond"/>
        </w:rPr>
        <w:t>membuktikan</w:t>
      </w:r>
      <w:proofErr w:type="spellEnd"/>
      <w:r w:rsidRPr="00E809DB">
        <w:rPr>
          <w:rFonts w:ascii="Garamond" w:hAnsi="Garamond"/>
        </w:rPr>
        <w:t xml:space="preserve"> </w:t>
      </w:r>
      <w:proofErr w:type="spellStart"/>
      <w:r w:rsidRPr="00E809DB">
        <w:rPr>
          <w:rFonts w:ascii="Garamond" w:hAnsi="Garamond"/>
        </w:rPr>
        <w:t>bahwa</w:t>
      </w:r>
      <w:proofErr w:type="spellEnd"/>
      <w:r w:rsidRPr="00E809DB">
        <w:rPr>
          <w:rFonts w:ascii="Garamond" w:hAnsi="Garamond"/>
        </w:rPr>
        <w:t xml:space="preserve"> data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emosional</w:t>
      </w:r>
      <w:proofErr w:type="spellEnd"/>
      <w:r w:rsidRPr="00E809DB">
        <w:rPr>
          <w:rFonts w:ascii="Garamond" w:hAnsi="Garamond"/>
        </w:rPr>
        <w:t xml:space="preserve"> </w:t>
      </w:r>
      <w:proofErr w:type="spellStart"/>
      <w:r w:rsidRPr="00E809DB">
        <w:rPr>
          <w:rFonts w:ascii="Garamond" w:hAnsi="Garamond"/>
        </w:rPr>
        <w:t>memiliki</w:t>
      </w:r>
      <w:proofErr w:type="spellEnd"/>
      <w:r w:rsidRPr="00E809DB">
        <w:rPr>
          <w:rFonts w:ascii="Garamond" w:hAnsi="Garamond"/>
        </w:rPr>
        <w:t xml:space="preserve"> </w:t>
      </w:r>
      <w:proofErr w:type="spellStart"/>
      <w:r w:rsidRPr="00E809DB">
        <w:rPr>
          <w:rFonts w:ascii="Garamond" w:hAnsi="Garamond"/>
        </w:rPr>
        <w:t>skor</w:t>
      </w:r>
      <w:proofErr w:type="spellEnd"/>
      <w:r w:rsidRPr="00E809DB">
        <w:rPr>
          <w:rFonts w:ascii="Garamond" w:hAnsi="Garamond"/>
        </w:rPr>
        <w:t xml:space="preserve"> rata-rata 20,47, data </w:t>
      </w:r>
      <w:proofErr w:type="spellStart"/>
      <w:r w:rsidRPr="00E809DB">
        <w:rPr>
          <w:rFonts w:ascii="Garamond" w:hAnsi="Garamond"/>
        </w:rPr>
        <w:t>dukungan</w:t>
      </w:r>
      <w:proofErr w:type="spellEnd"/>
      <w:r w:rsidRPr="00E809DB">
        <w:rPr>
          <w:rFonts w:ascii="Garamond" w:hAnsi="Garamond"/>
        </w:rPr>
        <w:t xml:space="preserve"> reward </w:t>
      </w:r>
      <w:proofErr w:type="spellStart"/>
      <w:r w:rsidRPr="00E809DB">
        <w:rPr>
          <w:rFonts w:ascii="Garamond" w:hAnsi="Garamond"/>
        </w:rPr>
        <w:t>memiliki</w:t>
      </w:r>
      <w:proofErr w:type="spellEnd"/>
      <w:r w:rsidRPr="00E809DB">
        <w:rPr>
          <w:rFonts w:ascii="Garamond" w:hAnsi="Garamond"/>
        </w:rPr>
        <w:t xml:space="preserve"> </w:t>
      </w:r>
      <w:proofErr w:type="spellStart"/>
      <w:r w:rsidRPr="00E809DB">
        <w:rPr>
          <w:rFonts w:ascii="Garamond" w:hAnsi="Garamond"/>
        </w:rPr>
        <w:t>skor</w:t>
      </w:r>
      <w:proofErr w:type="spellEnd"/>
      <w:r w:rsidRPr="00E809DB">
        <w:rPr>
          <w:rFonts w:ascii="Garamond" w:hAnsi="Garamond"/>
        </w:rPr>
        <w:t xml:space="preserve"> rata-rata 20,21, data </w:t>
      </w:r>
      <w:proofErr w:type="spellStart"/>
      <w:r w:rsidRPr="00E809DB">
        <w:rPr>
          <w:rFonts w:ascii="Garamond" w:hAnsi="Garamond"/>
        </w:rPr>
        <w:t>dukungan</w:t>
      </w:r>
      <w:proofErr w:type="spellEnd"/>
      <w:r w:rsidRPr="00E809DB">
        <w:rPr>
          <w:rFonts w:ascii="Garamond" w:hAnsi="Garamond"/>
        </w:rPr>
        <w:t xml:space="preserve"> instrumental </w:t>
      </w:r>
      <w:proofErr w:type="spellStart"/>
      <w:r w:rsidRPr="00E809DB">
        <w:rPr>
          <w:rFonts w:ascii="Garamond" w:hAnsi="Garamond"/>
        </w:rPr>
        <w:t>memiliki</w:t>
      </w:r>
      <w:proofErr w:type="spellEnd"/>
      <w:r w:rsidRPr="00E809DB">
        <w:rPr>
          <w:rFonts w:ascii="Garamond" w:hAnsi="Garamond"/>
        </w:rPr>
        <w:t xml:space="preserve"> </w:t>
      </w:r>
      <w:proofErr w:type="spellStart"/>
      <w:r w:rsidRPr="00E809DB">
        <w:rPr>
          <w:rFonts w:ascii="Garamond" w:hAnsi="Garamond"/>
        </w:rPr>
        <w:t>skor</w:t>
      </w:r>
      <w:proofErr w:type="spellEnd"/>
      <w:r w:rsidRPr="00E809DB">
        <w:rPr>
          <w:rFonts w:ascii="Garamond" w:hAnsi="Garamond"/>
        </w:rPr>
        <w:t xml:space="preserve"> rata-rata 19,96,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informasi</w:t>
      </w:r>
      <w:proofErr w:type="spellEnd"/>
      <w:r w:rsidRPr="00E809DB">
        <w:rPr>
          <w:rFonts w:ascii="Garamond" w:hAnsi="Garamond"/>
        </w:rPr>
        <w:t xml:space="preserve"> </w:t>
      </w:r>
      <w:proofErr w:type="spellStart"/>
      <w:r w:rsidRPr="00E809DB">
        <w:rPr>
          <w:rFonts w:ascii="Garamond" w:hAnsi="Garamond"/>
        </w:rPr>
        <w:t>memiliki</w:t>
      </w:r>
      <w:proofErr w:type="spellEnd"/>
      <w:r w:rsidRPr="00E809DB">
        <w:rPr>
          <w:rFonts w:ascii="Garamond" w:hAnsi="Garamond"/>
        </w:rPr>
        <w:t xml:space="preserve"> </w:t>
      </w:r>
      <w:proofErr w:type="spellStart"/>
      <w:r w:rsidRPr="00E809DB">
        <w:rPr>
          <w:rFonts w:ascii="Garamond" w:hAnsi="Garamond"/>
        </w:rPr>
        <w:t>skor</w:t>
      </w:r>
      <w:proofErr w:type="spellEnd"/>
      <w:r w:rsidRPr="00E809DB">
        <w:rPr>
          <w:rFonts w:ascii="Garamond" w:hAnsi="Garamond"/>
        </w:rPr>
        <w:t xml:space="preserve"> rata-rata 18,98,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jejaring</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w:t>
      </w:r>
      <w:proofErr w:type="spellStart"/>
      <w:r w:rsidRPr="00E809DB">
        <w:rPr>
          <w:rFonts w:ascii="Garamond" w:hAnsi="Garamond"/>
        </w:rPr>
        <w:t>dengan</w:t>
      </w:r>
      <w:proofErr w:type="spellEnd"/>
      <w:r w:rsidRPr="00E809DB">
        <w:rPr>
          <w:rFonts w:ascii="Garamond" w:hAnsi="Garamond"/>
        </w:rPr>
        <w:t xml:space="preserve"> </w:t>
      </w:r>
      <w:proofErr w:type="spellStart"/>
      <w:r w:rsidRPr="00E809DB">
        <w:rPr>
          <w:rFonts w:ascii="Garamond" w:hAnsi="Garamond"/>
        </w:rPr>
        <w:t>skor</w:t>
      </w:r>
      <w:proofErr w:type="spellEnd"/>
      <w:r w:rsidRPr="00E809DB">
        <w:rPr>
          <w:rFonts w:ascii="Garamond" w:hAnsi="Garamond"/>
        </w:rPr>
        <w:t xml:space="preserve"> rata-rata 15,26. </w:t>
      </w:r>
      <w:proofErr w:type="spellStart"/>
      <w:proofErr w:type="gramStart"/>
      <w:r w:rsidRPr="00E809DB">
        <w:rPr>
          <w:rFonts w:ascii="Garamond" w:hAnsi="Garamond"/>
        </w:rPr>
        <w:t>Berdasarkan</w:t>
      </w:r>
      <w:proofErr w:type="spellEnd"/>
      <w:r w:rsidRPr="00E809DB">
        <w:rPr>
          <w:rFonts w:ascii="Garamond" w:hAnsi="Garamond"/>
        </w:rPr>
        <w:t xml:space="preserve"> </w:t>
      </w:r>
      <w:proofErr w:type="spellStart"/>
      <w:r w:rsidRPr="00E809DB">
        <w:rPr>
          <w:rFonts w:ascii="Garamond" w:hAnsi="Garamond"/>
        </w:rPr>
        <w:t>hasil</w:t>
      </w:r>
      <w:proofErr w:type="spellEnd"/>
      <w:r w:rsidRPr="00E809DB">
        <w:rPr>
          <w:rFonts w:ascii="Garamond" w:hAnsi="Garamond"/>
        </w:rPr>
        <w:t xml:space="preserve"> </w:t>
      </w:r>
      <w:proofErr w:type="spellStart"/>
      <w:r w:rsidRPr="00E809DB">
        <w:rPr>
          <w:rFonts w:ascii="Garamond" w:hAnsi="Garamond"/>
        </w:rPr>
        <w:t>penelitian</w:t>
      </w:r>
      <w:proofErr w:type="spellEnd"/>
      <w:r w:rsidRPr="00E809DB">
        <w:rPr>
          <w:rFonts w:ascii="Garamond" w:hAnsi="Garamond"/>
        </w:rPr>
        <w:t xml:space="preserve"> </w:t>
      </w:r>
      <w:proofErr w:type="spellStart"/>
      <w:r w:rsidRPr="00E809DB">
        <w:rPr>
          <w:rFonts w:ascii="Garamond" w:hAnsi="Garamond"/>
        </w:rPr>
        <w:t>tergambar</w:t>
      </w:r>
      <w:proofErr w:type="spellEnd"/>
      <w:r w:rsidRPr="00E809DB">
        <w:rPr>
          <w:rFonts w:ascii="Garamond" w:hAnsi="Garamond"/>
        </w:rPr>
        <w:t xml:space="preserve"> </w:t>
      </w:r>
      <w:proofErr w:type="spellStart"/>
      <w:r w:rsidRPr="00E809DB">
        <w:rPr>
          <w:rFonts w:ascii="Garamond" w:hAnsi="Garamond"/>
        </w:rPr>
        <w:t>bahwa</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sosial</w:t>
      </w:r>
      <w:proofErr w:type="spellEnd"/>
      <w:r w:rsidRPr="00E809DB">
        <w:rPr>
          <w:rFonts w:ascii="Garamond" w:hAnsi="Garamond"/>
        </w:rPr>
        <w:t xml:space="preserve"> yang paling </w:t>
      </w:r>
      <w:proofErr w:type="spellStart"/>
      <w:r w:rsidRPr="00E809DB">
        <w:rPr>
          <w:rFonts w:ascii="Garamond" w:hAnsi="Garamond"/>
        </w:rPr>
        <w:t>tinggi</w:t>
      </w:r>
      <w:proofErr w:type="spellEnd"/>
      <w:r w:rsidRPr="00E809DB">
        <w:rPr>
          <w:rFonts w:ascii="Garamond" w:hAnsi="Garamond"/>
        </w:rPr>
        <w:t xml:space="preserve"> </w:t>
      </w:r>
      <w:proofErr w:type="spellStart"/>
      <w:r w:rsidRPr="00E809DB">
        <w:rPr>
          <w:rFonts w:ascii="Garamond" w:hAnsi="Garamond"/>
        </w:rPr>
        <w:t>adalah</w:t>
      </w:r>
      <w:proofErr w:type="spellEnd"/>
      <w:r w:rsidRPr="00E809DB">
        <w:rPr>
          <w:rFonts w:ascii="Garamond" w:hAnsi="Garamond"/>
        </w:rPr>
        <w:t xml:space="preserve"> </w:t>
      </w:r>
      <w:proofErr w:type="spellStart"/>
      <w:r w:rsidRPr="00E809DB">
        <w:rPr>
          <w:rFonts w:ascii="Garamond" w:hAnsi="Garamond"/>
        </w:rPr>
        <w:t>dukungan</w:t>
      </w:r>
      <w:proofErr w:type="spellEnd"/>
      <w:r w:rsidRPr="00E809DB">
        <w:rPr>
          <w:rFonts w:ascii="Garamond" w:hAnsi="Garamond"/>
        </w:rPr>
        <w:t xml:space="preserve"> </w:t>
      </w:r>
      <w:proofErr w:type="spellStart"/>
      <w:r w:rsidRPr="00E809DB">
        <w:rPr>
          <w:rFonts w:ascii="Garamond" w:hAnsi="Garamond"/>
        </w:rPr>
        <w:t>emosional</w:t>
      </w:r>
      <w:proofErr w:type="spellEnd"/>
      <w:r w:rsidRPr="00E809DB">
        <w:rPr>
          <w:rFonts w:ascii="Garamond" w:hAnsi="Garamond"/>
        </w:rPr>
        <w:t>.</w:t>
      </w:r>
      <w:proofErr w:type="gramEnd"/>
    </w:p>
    <w:p w:rsidR="006D47AA" w:rsidRPr="00E809DB" w:rsidRDefault="006D47AA" w:rsidP="006D47AA">
      <w:pPr>
        <w:pStyle w:val="StyleAuthorBold"/>
        <w:ind w:firstLine="567"/>
        <w:jc w:val="left"/>
        <w:rPr>
          <w:rFonts w:ascii="Garamond" w:hAnsi="Garamond"/>
          <w:bCs w:val="0"/>
          <w:i/>
          <w:iCs/>
          <w:noProof w:val="0"/>
          <w:spacing w:val="-1"/>
          <w:sz w:val="20"/>
          <w:szCs w:val="20"/>
        </w:rPr>
      </w:pPr>
      <w:r w:rsidRPr="00E809DB">
        <w:rPr>
          <w:rFonts w:ascii="Garamond" w:hAnsi="Garamond"/>
          <w:bCs w:val="0"/>
          <w:i/>
          <w:iCs/>
          <w:noProof w:val="0"/>
          <w:spacing w:val="-1"/>
          <w:sz w:val="20"/>
          <w:szCs w:val="20"/>
        </w:rPr>
        <w:t xml:space="preserve">Kata </w:t>
      </w:r>
      <w:proofErr w:type="spellStart"/>
      <w:r w:rsidRPr="00E809DB">
        <w:rPr>
          <w:rFonts w:ascii="Garamond" w:hAnsi="Garamond"/>
          <w:bCs w:val="0"/>
          <w:i/>
          <w:iCs/>
          <w:noProof w:val="0"/>
          <w:spacing w:val="-1"/>
          <w:sz w:val="20"/>
          <w:szCs w:val="20"/>
        </w:rPr>
        <w:t>kunci</w:t>
      </w:r>
      <w:proofErr w:type="spellEnd"/>
      <w:r w:rsidRPr="00E809DB">
        <w:rPr>
          <w:rFonts w:ascii="Garamond" w:hAnsi="Garamond"/>
          <w:bCs w:val="0"/>
          <w:i/>
          <w:iCs/>
          <w:noProof w:val="0"/>
          <w:spacing w:val="-1"/>
          <w:sz w:val="20"/>
          <w:szCs w:val="20"/>
        </w:rPr>
        <w:t xml:space="preserve">: </w:t>
      </w:r>
      <w:proofErr w:type="spellStart"/>
      <w:r w:rsidRPr="00E809DB">
        <w:rPr>
          <w:rFonts w:ascii="Garamond" w:hAnsi="Garamond"/>
          <w:bCs w:val="0"/>
          <w:i/>
          <w:iCs/>
          <w:noProof w:val="0"/>
          <w:spacing w:val="-1"/>
          <w:sz w:val="20"/>
          <w:szCs w:val="20"/>
        </w:rPr>
        <w:t>dukungan</w:t>
      </w:r>
      <w:proofErr w:type="spellEnd"/>
      <w:r w:rsidRPr="00E809DB">
        <w:rPr>
          <w:rFonts w:ascii="Garamond" w:hAnsi="Garamond"/>
          <w:bCs w:val="0"/>
          <w:i/>
          <w:iCs/>
          <w:noProof w:val="0"/>
          <w:spacing w:val="-1"/>
          <w:sz w:val="20"/>
          <w:szCs w:val="20"/>
        </w:rPr>
        <w:t xml:space="preserve"> </w:t>
      </w:r>
      <w:proofErr w:type="spellStart"/>
      <w:r w:rsidRPr="00E809DB">
        <w:rPr>
          <w:rFonts w:ascii="Garamond" w:hAnsi="Garamond"/>
          <w:bCs w:val="0"/>
          <w:i/>
          <w:iCs/>
          <w:noProof w:val="0"/>
          <w:spacing w:val="-1"/>
          <w:sz w:val="20"/>
          <w:szCs w:val="20"/>
        </w:rPr>
        <w:t>sosial</w:t>
      </w:r>
      <w:proofErr w:type="spellEnd"/>
      <w:r w:rsidRPr="00E809DB">
        <w:rPr>
          <w:rFonts w:ascii="Garamond" w:hAnsi="Garamond"/>
          <w:bCs w:val="0"/>
          <w:i/>
          <w:iCs/>
          <w:noProof w:val="0"/>
          <w:spacing w:val="-1"/>
          <w:sz w:val="20"/>
          <w:szCs w:val="20"/>
        </w:rPr>
        <w:t xml:space="preserve">, orang </w:t>
      </w:r>
      <w:proofErr w:type="spellStart"/>
      <w:r w:rsidRPr="00E809DB">
        <w:rPr>
          <w:rFonts w:ascii="Garamond" w:hAnsi="Garamond"/>
          <w:bCs w:val="0"/>
          <w:i/>
          <w:iCs/>
          <w:noProof w:val="0"/>
          <w:spacing w:val="-1"/>
          <w:sz w:val="20"/>
          <w:szCs w:val="20"/>
        </w:rPr>
        <w:t>tua</w:t>
      </w:r>
      <w:proofErr w:type="spellEnd"/>
      <w:r w:rsidRPr="00E809DB">
        <w:rPr>
          <w:rFonts w:ascii="Garamond" w:hAnsi="Garamond"/>
          <w:bCs w:val="0"/>
          <w:i/>
          <w:iCs/>
          <w:noProof w:val="0"/>
          <w:spacing w:val="-1"/>
          <w:sz w:val="20"/>
          <w:szCs w:val="20"/>
        </w:rPr>
        <w:t xml:space="preserve">, </w:t>
      </w:r>
      <w:proofErr w:type="spellStart"/>
      <w:r w:rsidRPr="00E809DB">
        <w:rPr>
          <w:rFonts w:ascii="Garamond" w:hAnsi="Garamond"/>
          <w:bCs w:val="0"/>
          <w:i/>
          <w:iCs/>
          <w:noProof w:val="0"/>
          <w:spacing w:val="-1"/>
          <w:sz w:val="20"/>
          <w:szCs w:val="20"/>
        </w:rPr>
        <w:t>adaptabilitas</w:t>
      </w:r>
      <w:proofErr w:type="spellEnd"/>
      <w:r w:rsidRPr="00E809DB">
        <w:rPr>
          <w:rFonts w:ascii="Garamond" w:hAnsi="Garamond"/>
          <w:bCs w:val="0"/>
          <w:i/>
          <w:iCs/>
          <w:noProof w:val="0"/>
          <w:spacing w:val="-1"/>
          <w:sz w:val="20"/>
          <w:szCs w:val="20"/>
        </w:rPr>
        <w:t xml:space="preserve"> </w:t>
      </w:r>
      <w:proofErr w:type="spellStart"/>
      <w:r w:rsidRPr="00E809DB">
        <w:rPr>
          <w:rFonts w:ascii="Garamond" w:hAnsi="Garamond"/>
          <w:bCs w:val="0"/>
          <w:i/>
          <w:iCs/>
          <w:noProof w:val="0"/>
          <w:spacing w:val="-1"/>
          <w:sz w:val="20"/>
          <w:szCs w:val="20"/>
        </w:rPr>
        <w:t>karir</w:t>
      </w:r>
      <w:proofErr w:type="spellEnd"/>
    </w:p>
    <w:p w:rsidR="006D47AA" w:rsidRPr="00E809DB" w:rsidRDefault="006D47AA" w:rsidP="006D47AA">
      <w:pPr>
        <w:pStyle w:val="StyleAuthorBold"/>
        <w:rPr>
          <w:rFonts w:ascii="Garamond" w:hAnsi="Garamond"/>
          <w:sz w:val="24"/>
          <w:szCs w:val="24"/>
        </w:rPr>
      </w:pPr>
      <w:r w:rsidRPr="00E809DB">
        <w:rPr>
          <w:rFonts w:ascii="Garamond" w:hAnsi="Garamond"/>
          <w:sz w:val="24"/>
          <w:szCs w:val="24"/>
          <w:lang w:val="id-ID"/>
        </w:rPr>
        <w:t>Abstract</w:t>
      </w:r>
    </w:p>
    <w:p w:rsidR="006D47AA" w:rsidRPr="00E809DB" w:rsidRDefault="006D47AA" w:rsidP="006D47AA">
      <w:pPr>
        <w:ind w:left="567" w:right="569"/>
        <w:jc w:val="both"/>
        <w:rPr>
          <w:rFonts w:ascii="Garamond" w:hAnsi="Garamond"/>
        </w:rPr>
      </w:pPr>
      <w:r w:rsidRPr="00E809DB">
        <w:rPr>
          <w:rFonts w:ascii="Garamond" w:hAnsi="Garamond"/>
        </w:rPr>
        <w:t xml:space="preserve">Skills and insights are needed to prepare for the transition from university to the world of work. One source of readiness to enter the world of work is social support. The main social support in preparing to enter the world of work is parents or family. One of the external factors that also </w:t>
      </w:r>
      <w:proofErr w:type="gramStart"/>
      <w:r w:rsidRPr="00E809DB">
        <w:rPr>
          <w:rFonts w:ascii="Garamond" w:hAnsi="Garamond"/>
        </w:rPr>
        <w:t>supports</w:t>
      </w:r>
      <w:proofErr w:type="gramEnd"/>
      <w:r w:rsidRPr="00E809DB">
        <w:rPr>
          <w:rFonts w:ascii="Garamond" w:hAnsi="Garamond"/>
        </w:rPr>
        <w:t xml:space="preserve"> career choice in students is social support from parents. This study aims to describe the form of social support received by students from their parents as a form of social support in choosing a student's future career. This type of research is descriptive quantitative with percentage data analysis techniques. The population is final-year BK students, totaling 95 people with a total sampling technique. The results of the study prove that emotional support data has an average score of 20.47, reward support data has an average score of 20.21, instrumental support data has an average score of 19.96, </w:t>
      </w:r>
      <w:proofErr w:type="gramStart"/>
      <w:r w:rsidRPr="00E809DB">
        <w:rPr>
          <w:rFonts w:ascii="Garamond" w:hAnsi="Garamond"/>
        </w:rPr>
        <w:t>informational</w:t>
      </w:r>
      <w:proofErr w:type="gramEnd"/>
      <w:r w:rsidRPr="00E809DB">
        <w:rPr>
          <w:rFonts w:ascii="Garamond" w:hAnsi="Garamond"/>
        </w:rPr>
        <w:t xml:space="preserve"> support has an average score of 18.98, social network support with an average score of 15.26. Based on the research results, it is illustrated that the highest social support is emotional support.</w:t>
      </w:r>
    </w:p>
    <w:p w:rsidR="006D47AA" w:rsidRPr="00E809DB" w:rsidRDefault="006D47AA" w:rsidP="006D47AA">
      <w:pPr>
        <w:ind w:left="567" w:right="569"/>
        <w:jc w:val="both"/>
        <w:rPr>
          <w:rFonts w:ascii="Garamond" w:hAnsi="Garamond"/>
          <w:sz w:val="24"/>
          <w:szCs w:val="24"/>
        </w:rPr>
      </w:pPr>
    </w:p>
    <w:p w:rsidR="006D47AA" w:rsidRPr="00E809DB" w:rsidRDefault="006D47AA" w:rsidP="006D47AA">
      <w:pPr>
        <w:ind w:left="567" w:right="569"/>
        <w:jc w:val="both"/>
        <w:rPr>
          <w:rFonts w:ascii="Garamond" w:hAnsi="Garamond"/>
          <w:b/>
        </w:rPr>
      </w:pPr>
      <w:r w:rsidRPr="00E809DB">
        <w:rPr>
          <w:rFonts w:ascii="Garamond" w:hAnsi="Garamond"/>
          <w:b/>
        </w:rPr>
        <w:t>Keywords: social support, parents, career adaptability</w:t>
      </w:r>
    </w:p>
    <w:p w:rsidR="006D47AA" w:rsidRPr="00E809DB" w:rsidRDefault="006D47AA" w:rsidP="006D47AA">
      <w:pPr>
        <w:pStyle w:val="abstrak"/>
        <w:spacing w:before="240" w:after="40"/>
        <w:ind w:right="569"/>
        <w:rPr>
          <w:rFonts w:ascii="Garamond" w:hAnsi="Garamond"/>
          <w:sz w:val="24"/>
        </w:rPr>
      </w:pPr>
    </w:p>
    <w:p w:rsidR="006D47AA" w:rsidRPr="00E809DB" w:rsidRDefault="006D47AA" w:rsidP="006D47AA">
      <w:pPr>
        <w:pStyle w:val="abstrak"/>
        <w:ind w:right="569"/>
        <w:rPr>
          <w:rFonts w:ascii="Garamond" w:hAnsi="Garamond"/>
          <w:sz w:val="24"/>
          <w:lang w:val="id-ID"/>
        </w:rPr>
        <w:sectPr w:rsidR="006D47AA" w:rsidRPr="00E809DB" w:rsidSect="00C94782">
          <w:headerReference w:type="even" r:id="rId14"/>
          <w:headerReference w:type="default" r:id="rId15"/>
          <w:footerReference w:type="even" r:id="rId16"/>
          <w:footerReference w:type="default" r:id="rId17"/>
          <w:headerReference w:type="first" r:id="rId18"/>
          <w:pgSz w:w="11909" w:h="16834" w:code="9"/>
          <w:pgMar w:top="1134" w:right="1134" w:bottom="1418" w:left="1134" w:header="720" w:footer="811" w:gutter="0"/>
          <w:cols w:space="720"/>
          <w:docGrid w:linePitch="360"/>
        </w:sectPr>
      </w:pPr>
    </w:p>
    <w:p w:rsidR="006D47AA" w:rsidRPr="00E809DB" w:rsidRDefault="006D47AA" w:rsidP="006D47AA">
      <w:pPr>
        <w:rPr>
          <w:rFonts w:ascii="Garamond" w:hAnsi="Garamond"/>
          <w:sz w:val="24"/>
          <w:szCs w:val="24"/>
          <w:lang w:val="id-ID"/>
        </w:rPr>
      </w:pPr>
    </w:p>
    <w:p w:rsidR="006D47AA" w:rsidRPr="00E809DB" w:rsidRDefault="006D47AA" w:rsidP="006D47AA">
      <w:pPr>
        <w:jc w:val="both"/>
        <w:rPr>
          <w:rFonts w:ascii="Garamond" w:hAnsi="Garamond"/>
          <w:sz w:val="24"/>
          <w:szCs w:val="24"/>
          <w:lang w:val="id-ID"/>
        </w:rPr>
        <w:sectPr w:rsidR="006D47AA" w:rsidRPr="00E809DB" w:rsidSect="00AC5D5A">
          <w:type w:val="continuous"/>
          <w:pgSz w:w="11909" w:h="16834" w:code="9"/>
          <w:pgMar w:top="1418" w:right="1134" w:bottom="1418" w:left="1701" w:header="720" w:footer="809" w:gutter="0"/>
          <w:cols w:space="720"/>
          <w:docGrid w:linePitch="360"/>
        </w:sectPr>
      </w:pPr>
    </w:p>
    <w:p w:rsidR="006D47AA" w:rsidRPr="00E809DB" w:rsidRDefault="006D47AA" w:rsidP="006D47AA">
      <w:pPr>
        <w:pStyle w:val="BodyText"/>
        <w:spacing w:line="276" w:lineRule="auto"/>
        <w:ind w:firstLine="0"/>
        <w:rPr>
          <w:rFonts w:ascii="Garamond" w:hAnsi="Garamond"/>
          <w:b/>
          <w:sz w:val="24"/>
          <w:szCs w:val="24"/>
        </w:rPr>
      </w:pPr>
      <w:r w:rsidRPr="00E809DB">
        <w:rPr>
          <w:rFonts w:ascii="Garamond" w:hAnsi="Garamond"/>
          <w:b/>
          <w:sz w:val="24"/>
          <w:szCs w:val="24"/>
        </w:rPr>
        <w:lastRenderedPageBreak/>
        <w:t>Background</w:t>
      </w:r>
    </w:p>
    <w:p w:rsidR="006D47AA" w:rsidRPr="00E809DB" w:rsidRDefault="006D47AA" w:rsidP="006D47AA">
      <w:pPr>
        <w:pStyle w:val="BodyText"/>
        <w:spacing w:line="276" w:lineRule="auto"/>
        <w:ind w:firstLine="567"/>
        <w:rPr>
          <w:rFonts w:ascii="Garamond" w:hAnsi="Garamond"/>
          <w:color w:val="000000"/>
          <w:sz w:val="24"/>
          <w:szCs w:val="24"/>
          <w:shd w:val="clear" w:color="auto" w:fill="FFFFFF"/>
        </w:rPr>
      </w:pPr>
      <w:r w:rsidRPr="00E809DB">
        <w:rPr>
          <w:rFonts w:ascii="Garamond" w:hAnsi="Garamond"/>
          <w:sz w:val="24"/>
          <w:szCs w:val="24"/>
        </w:rPr>
        <w:t xml:space="preserve">In the era of society 5.0, which is more dominant, </w:t>
      </w:r>
      <w:proofErr w:type="gramStart"/>
      <w:r w:rsidRPr="00E809DB">
        <w:rPr>
          <w:rFonts w:ascii="Garamond" w:hAnsi="Garamond"/>
          <w:sz w:val="24"/>
          <w:szCs w:val="24"/>
        </w:rPr>
        <w:t>humans</w:t>
      </w:r>
      <w:proofErr w:type="gramEnd"/>
      <w:r w:rsidRPr="00E809DB">
        <w:rPr>
          <w:rFonts w:ascii="Garamond" w:hAnsi="Garamond"/>
          <w:sz w:val="24"/>
          <w:szCs w:val="24"/>
        </w:rPr>
        <w:t xml:space="preserve"> must be prepared to face an increasingly fast era and have the skills to keep up with the acceleration of this technology. Skill weaknesses will certainly have an impact in the post-college world with more and more unemployed. Based on data from the Central Statistics Agency (BPS) shows that the number of unemployed in Indonesia in February 2022 was 8.40 million people </w:t>
      </w:r>
      <w:hyperlink r:id="rId19" w:history="1">
        <w:r w:rsidRPr="00E809DB">
          <w:rPr>
            <w:rStyle w:val="Hyperlink"/>
            <w:rFonts w:ascii="Garamond" w:hAnsi="Garamond"/>
            <w:sz w:val="24"/>
            <w:szCs w:val="24"/>
            <w:shd w:val="clear" w:color="auto" w:fill="FFFFFF"/>
          </w:rPr>
          <w:t>https://www.bps.go.id/indicator/6/1953/1/nomor-dan-persentase-penduduk-bekerja-dan-penggiran.html</w:t>
        </w:r>
      </w:hyperlink>
    </w:p>
    <w:p w:rsidR="006D47AA" w:rsidRPr="00E809DB" w:rsidRDefault="006D47AA" w:rsidP="00E809DB">
      <w:pPr>
        <w:pStyle w:val="BodyText"/>
        <w:spacing w:line="276" w:lineRule="auto"/>
        <w:ind w:right="4" w:firstLine="720"/>
        <w:rPr>
          <w:rFonts w:ascii="Garamond" w:hAnsi="Garamond"/>
          <w:color w:val="000000"/>
          <w:sz w:val="24"/>
          <w:szCs w:val="24"/>
          <w:shd w:val="clear" w:color="auto" w:fill="FFFFFF"/>
        </w:rPr>
      </w:pPr>
      <w:r w:rsidRPr="00E809DB">
        <w:rPr>
          <w:rFonts w:ascii="Garamond" w:hAnsi="Garamond"/>
          <w:sz w:val="24"/>
          <w:szCs w:val="24"/>
        </w:rPr>
        <w:t xml:space="preserve">This is a very drastic </w:t>
      </w:r>
      <w:proofErr w:type="gramStart"/>
      <w:r w:rsidRPr="00E809DB">
        <w:rPr>
          <w:rFonts w:ascii="Garamond" w:hAnsi="Garamond"/>
          <w:sz w:val="24"/>
          <w:szCs w:val="24"/>
        </w:rPr>
        <w:t>amount,</w:t>
      </w:r>
      <w:proofErr w:type="gramEnd"/>
      <w:r w:rsidRPr="00E809DB">
        <w:rPr>
          <w:rFonts w:ascii="Garamond" w:hAnsi="Garamond"/>
          <w:sz w:val="24"/>
          <w:szCs w:val="24"/>
        </w:rPr>
        <w:t xml:space="preserve"> of course, we will not choose to be one that will increase the number of unemployed people</w:t>
      </w:r>
      <w:r w:rsidRPr="00E809DB">
        <w:rPr>
          <w:rFonts w:ascii="Garamond" w:hAnsi="Garamond"/>
          <w:color w:val="000000"/>
          <w:sz w:val="24"/>
          <w:szCs w:val="24"/>
          <w:shd w:val="clear" w:color="auto" w:fill="FFFFFF"/>
        </w:rPr>
        <w:t>.</w:t>
      </w:r>
    </w:p>
    <w:p w:rsidR="006D47AA" w:rsidRPr="00E809DB" w:rsidRDefault="006D47AA" w:rsidP="00E809DB">
      <w:pPr>
        <w:spacing w:line="276" w:lineRule="auto"/>
        <w:jc w:val="both"/>
        <w:rPr>
          <w:rFonts w:ascii="Garamond" w:hAnsi="Garamond"/>
          <w:sz w:val="24"/>
          <w:szCs w:val="24"/>
        </w:rPr>
      </w:pPr>
      <w:r w:rsidRPr="00E809DB">
        <w:rPr>
          <w:rFonts w:ascii="Garamond" w:hAnsi="Garamond"/>
          <w:sz w:val="24"/>
          <w:szCs w:val="24"/>
        </w:rPr>
        <w:t>A large number of unemployed come from universities because of new graduates who do not yet have skills that are in line with the needs of the field, while graduates have expectations of higher income and status. There is a phenomenon that many college graduates are not absorbed in the world of work, which requires a change in the pattern of providing education so as to improve the response to the various challenges that exist. Attitudes less responsive to changes in the surrounding environment caused by the contents of the higher education curriculum are still scientifically oriented.</w:t>
      </w:r>
    </w:p>
    <w:p w:rsidR="006D47AA" w:rsidRPr="00E809DB" w:rsidRDefault="006D47AA" w:rsidP="006D47AA">
      <w:pPr>
        <w:pStyle w:val="BodyText"/>
        <w:spacing w:line="276" w:lineRule="auto"/>
        <w:ind w:firstLine="567"/>
        <w:rPr>
          <w:rFonts w:ascii="Garamond" w:hAnsi="Garamond"/>
          <w:sz w:val="24"/>
          <w:szCs w:val="24"/>
        </w:rPr>
      </w:pPr>
      <w:r w:rsidRPr="00E809DB">
        <w:rPr>
          <w:rFonts w:ascii="Garamond" w:hAnsi="Garamond"/>
          <w:sz w:val="24"/>
          <w:szCs w:val="24"/>
        </w:rPr>
        <w:t>.</w:t>
      </w:r>
    </w:p>
    <w:p w:rsidR="006D47AA" w:rsidRPr="00E809DB" w:rsidRDefault="006D47AA" w:rsidP="00E809DB">
      <w:pPr>
        <w:spacing w:line="276" w:lineRule="auto"/>
        <w:ind w:firstLine="720"/>
        <w:jc w:val="both"/>
        <w:rPr>
          <w:rFonts w:ascii="Garamond" w:hAnsi="Garamond"/>
          <w:sz w:val="24"/>
          <w:szCs w:val="24"/>
        </w:rPr>
      </w:pPr>
      <w:r w:rsidRPr="00E809DB">
        <w:rPr>
          <w:rFonts w:ascii="Garamond" w:hAnsi="Garamond"/>
          <w:sz w:val="24"/>
          <w:szCs w:val="24"/>
        </w:rPr>
        <w:t xml:space="preserve">To support the suitability between the fields of knowledge and the career fields undertaken in the world of work, readiness to enter the world of work is required. Final year students of the Guidance and Counseling Study Program FTIK UIN </w:t>
      </w:r>
      <w:proofErr w:type="spellStart"/>
      <w:r w:rsidRPr="00E809DB">
        <w:rPr>
          <w:rFonts w:ascii="Garamond" w:hAnsi="Garamond"/>
          <w:sz w:val="24"/>
          <w:szCs w:val="24"/>
        </w:rPr>
        <w:t>Bukittinggi</w:t>
      </w:r>
      <w:proofErr w:type="spellEnd"/>
      <w:r w:rsidRPr="00E809DB">
        <w:rPr>
          <w:rFonts w:ascii="Garamond" w:hAnsi="Garamond"/>
          <w:sz w:val="24"/>
          <w:szCs w:val="24"/>
        </w:rPr>
        <w:t xml:space="preserve"> in 2022 obtained data on the level of readiness to enter the world of work as many as 33.33% of students were in a fairly good position, with sub-indicators on aspects of ability 38.01%, </w:t>
      </w:r>
      <w:r w:rsidRPr="00E809DB">
        <w:rPr>
          <w:rFonts w:ascii="Garamond" w:hAnsi="Garamond"/>
          <w:sz w:val="24"/>
          <w:szCs w:val="24"/>
        </w:rPr>
        <w:lastRenderedPageBreak/>
        <w:t xml:space="preserve">aspects of willingness 39.15% and aspects of self-confidence 39.51% </w:t>
      </w:r>
      <w:r w:rsidRPr="00E809DB">
        <w:rPr>
          <w:rStyle w:val="FootnoteReference"/>
          <w:rFonts w:ascii="Garamond" w:hAnsi="Garamond"/>
          <w:sz w:val="24"/>
          <w:szCs w:val="24"/>
        </w:rPr>
        <w:footnoteReference w:id="1"/>
      </w:r>
      <w:r w:rsidRPr="00E809DB">
        <w:rPr>
          <w:rFonts w:ascii="Garamond" w:hAnsi="Garamond"/>
          <w:sz w:val="24"/>
          <w:szCs w:val="24"/>
        </w:rPr>
        <w:t>.</w:t>
      </w:r>
    </w:p>
    <w:p w:rsidR="006D47AA" w:rsidRPr="00E809DB" w:rsidRDefault="006D47AA" w:rsidP="00E809DB">
      <w:pPr>
        <w:spacing w:line="276" w:lineRule="auto"/>
        <w:ind w:firstLine="720"/>
        <w:jc w:val="both"/>
        <w:rPr>
          <w:rFonts w:ascii="Garamond" w:hAnsi="Garamond"/>
          <w:sz w:val="24"/>
          <w:szCs w:val="24"/>
        </w:rPr>
      </w:pPr>
      <w:r w:rsidRPr="00E809DB">
        <w:rPr>
          <w:rFonts w:ascii="Garamond" w:hAnsi="Garamond"/>
          <w:sz w:val="24"/>
          <w:szCs w:val="24"/>
        </w:rPr>
        <w:t xml:space="preserve">It is an important factor for students to prepare the abilities and insights needed for their careers in preparation for the transition from university to the world of </w:t>
      </w:r>
      <w:proofErr w:type="gramStart"/>
      <w:r w:rsidRPr="00E809DB">
        <w:rPr>
          <w:rFonts w:ascii="Garamond" w:hAnsi="Garamond"/>
          <w:sz w:val="24"/>
          <w:szCs w:val="24"/>
        </w:rPr>
        <w:t xml:space="preserve">work </w:t>
      </w:r>
      <w:proofErr w:type="gramEnd"/>
      <w:r w:rsidRPr="00E809DB">
        <w:rPr>
          <w:rStyle w:val="FootnoteReference"/>
          <w:rFonts w:ascii="Garamond" w:hAnsi="Garamond"/>
          <w:sz w:val="24"/>
          <w:szCs w:val="24"/>
        </w:rPr>
        <w:footnoteReference w:id="2"/>
      </w:r>
      <w:r w:rsidRPr="00E809DB">
        <w:rPr>
          <w:rFonts w:ascii="Garamond" w:hAnsi="Garamond"/>
          <w:sz w:val="24"/>
          <w:szCs w:val="24"/>
        </w:rPr>
        <w:t xml:space="preserve">. </w:t>
      </w:r>
    </w:p>
    <w:p w:rsidR="006D47AA" w:rsidRPr="00E809DB" w:rsidRDefault="006D47AA" w:rsidP="00E809DB">
      <w:pPr>
        <w:spacing w:line="276" w:lineRule="auto"/>
        <w:jc w:val="both"/>
        <w:rPr>
          <w:rFonts w:ascii="Garamond" w:hAnsi="Garamond"/>
          <w:sz w:val="24"/>
          <w:szCs w:val="24"/>
        </w:rPr>
      </w:pPr>
      <w:r w:rsidRPr="00E809DB">
        <w:rPr>
          <w:rFonts w:ascii="Garamond" w:hAnsi="Garamond"/>
          <w:sz w:val="24"/>
          <w:szCs w:val="24"/>
        </w:rPr>
        <w:t xml:space="preserve">Sources of readiness to enter the world of work include social support. Social support is a significant predictor in the development of future career </w:t>
      </w:r>
      <w:proofErr w:type="gramStart"/>
      <w:r w:rsidRPr="00E809DB">
        <w:rPr>
          <w:rFonts w:ascii="Garamond" w:hAnsi="Garamond"/>
          <w:sz w:val="24"/>
          <w:szCs w:val="24"/>
        </w:rPr>
        <w:t xml:space="preserve">adaptability </w:t>
      </w:r>
      <w:proofErr w:type="gramEnd"/>
      <w:r w:rsidRPr="00E809DB">
        <w:rPr>
          <w:rStyle w:val="FootnoteReference"/>
          <w:rFonts w:ascii="Garamond" w:hAnsi="Garamond"/>
          <w:sz w:val="24"/>
          <w:szCs w:val="24"/>
        </w:rPr>
        <w:footnoteReference w:id="3"/>
      </w:r>
      <w:r w:rsidRPr="00E809DB">
        <w:rPr>
          <w:rFonts w:ascii="Garamond" w:hAnsi="Garamond"/>
          <w:sz w:val="24"/>
          <w:szCs w:val="24"/>
        </w:rPr>
        <w:t>. One of the main social supports in choosing this career is parents or family.</w:t>
      </w:r>
    </w:p>
    <w:p w:rsidR="006D47AA" w:rsidRPr="00E809DB" w:rsidRDefault="006D47AA" w:rsidP="006D47AA">
      <w:pPr>
        <w:rPr>
          <w:rFonts w:ascii="Garamond" w:hAnsi="Garamond"/>
          <w:sz w:val="24"/>
          <w:szCs w:val="24"/>
        </w:rPr>
      </w:pPr>
      <w:r w:rsidRPr="00E809DB">
        <w:rPr>
          <w:rFonts w:ascii="Garamond" w:hAnsi="Garamond"/>
          <w:sz w:val="24"/>
          <w:szCs w:val="24"/>
        </w:rPr>
        <w:t>.</w:t>
      </w:r>
    </w:p>
    <w:p w:rsidR="006D47AA" w:rsidRPr="00E809DB" w:rsidRDefault="006D47AA" w:rsidP="006D47AA">
      <w:pPr>
        <w:pStyle w:val="BodyText"/>
        <w:spacing w:line="276" w:lineRule="auto"/>
        <w:ind w:firstLine="567"/>
        <w:rPr>
          <w:rFonts w:ascii="Garamond" w:hAnsi="Garamond"/>
          <w:sz w:val="24"/>
          <w:szCs w:val="24"/>
        </w:rPr>
      </w:pPr>
      <w:r w:rsidRPr="00E809DB">
        <w:rPr>
          <w:rFonts w:ascii="Garamond" w:hAnsi="Garamond"/>
          <w:sz w:val="24"/>
          <w:szCs w:val="24"/>
        </w:rPr>
        <w:t xml:space="preserve">Social support affects career adaptability in young adulthood in choosing a career later. This is because individuals will feel that they are getting social support in the form of emotional support from various sources that will be useful for individuals who will plan and explore their </w:t>
      </w:r>
      <w:proofErr w:type="gramStart"/>
      <w:r w:rsidRPr="00E809DB">
        <w:rPr>
          <w:rFonts w:ascii="Garamond" w:hAnsi="Garamond"/>
          <w:sz w:val="24"/>
          <w:szCs w:val="24"/>
        </w:rPr>
        <w:t xml:space="preserve">careers </w:t>
      </w:r>
      <w:proofErr w:type="gramEnd"/>
      <w:r w:rsidRPr="00E809DB">
        <w:rPr>
          <w:rStyle w:val="FootnoteReference"/>
          <w:rFonts w:ascii="Garamond" w:hAnsi="Garamond"/>
          <w:sz w:val="24"/>
          <w:szCs w:val="24"/>
        </w:rPr>
        <w:footnoteReference w:id="4"/>
      </w:r>
      <w:r w:rsidRPr="00E809DB">
        <w:rPr>
          <w:rFonts w:ascii="Garamond" w:hAnsi="Garamond"/>
          <w:sz w:val="24"/>
          <w:szCs w:val="24"/>
        </w:rPr>
        <w:t xml:space="preserve">. </w:t>
      </w:r>
      <w:proofErr w:type="spellStart"/>
      <w:r w:rsidRPr="00E809DB">
        <w:rPr>
          <w:rFonts w:ascii="Garamond" w:hAnsi="Garamond"/>
          <w:sz w:val="24"/>
          <w:szCs w:val="24"/>
        </w:rPr>
        <w:t>Weisenberg</w:t>
      </w:r>
      <w:proofErr w:type="spellEnd"/>
      <w:r w:rsidRPr="00E809DB">
        <w:rPr>
          <w:rFonts w:ascii="Garamond" w:hAnsi="Garamond"/>
          <w:sz w:val="24"/>
          <w:szCs w:val="24"/>
        </w:rPr>
        <w:t xml:space="preserve"> and </w:t>
      </w:r>
      <w:proofErr w:type="spellStart"/>
      <w:r w:rsidRPr="00E809DB">
        <w:rPr>
          <w:rFonts w:ascii="Garamond" w:hAnsi="Garamond"/>
          <w:sz w:val="24"/>
          <w:szCs w:val="24"/>
        </w:rPr>
        <w:t>Aghakhani</w:t>
      </w:r>
      <w:proofErr w:type="spellEnd"/>
      <w:r w:rsidRPr="00E809DB">
        <w:rPr>
          <w:rFonts w:ascii="Garamond" w:hAnsi="Garamond"/>
          <w:sz w:val="24"/>
          <w:szCs w:val="24"/>
        </w:rPr>
        <w:t xml:space="preserve"> </w:t>
      </w:r>
      <w:r w:rsidRPr="00E809DB">
        <w:rPr>
          <w:rStyle w:val="FootnoteReference"/>
          <w:rFonts w:ascii="Garamond" w:hAnsi="Garamond"/>
          <w:sz w:val="24"/>
          <w:szCs w:val="24"/>
        </w:rPr>
        <w:footnoteReference w:id="5"/>
      </w:r>
      <w:r w:rsidRPr="00E809DB">
        <w:rPr>
          <w:rFonts w:ascii="Garamond" w:hAnsi="Garamond"/>
          <w:sz w:val="24"/>
          <w:szCs w:val="24"/>
        </w:rPr>
        <w:t xml:space="preserve"> explain that the sources of social support for young adults are schools (institutions), family, and friends.</w:t>
      </w:r>
    </w:p>
    <w:p w:rsidR="006D47AA" w:rsidRPr="00E809DB" w:rsidRDefault="006D47AA" w:rsidP="006D47AA">
      <w:pPr>
        <w:pStyle w:val="BodyText"/>
        <w:spacing w:line="276" w:lineRule="auto"/>
        <w:ind w:firstLine="567"/>
        <w:rPr>
          <w:rFonts w:ascii="Garamond" w:hAnsi="Garamond"/>
          <w:sz w:val="24"/>
          <w:szCs w:val="24"/>
        </w:rPr>
      </w:pPr>
    </w:p>
    <w:p w:rsidR="006D47AA" w:rsidRPr="00E809DB" w:rsidRDefault="006D47AA" w:rsidP="00E809DB">
      <w:pPr>
        <w:pStyle w:val="BodyText"/>
        <w:spacing w:line="276" w:lineRule="auto"/>
        <w:ind w:firstLine="567"/>
        <w:rPr>
          <w:rFonts w:ascii="Garamond" w:hAnsi="Garamond"/>
          <w:sz w:val="24"/>
          <w:szCs w:val="24"/>
        </w:rPr>
      </w:pPr>
      <w:r w:rsidRPr="00E809DB">
        <w:rPr>
          <w:rFonts w:ascii="Garamond" w:hAnsi="Garamond"/>
          <w:sz w:val="24"/>
          <w:szCs w:val="24"/>
        </w:rPr>
        <w:t xml:space="preserve">Social support from parents will help prospective graduates prepare themselves to </w:t>
      </w:r>
      <w:r w:rsidRPr="00E809DB">
        <w:rPr>
          <w:rFonts w:ascii="Garamond" w:hAnsi="Garamond"/>
          <w:sz w:val="24"/>
          <w:szCs w:val="24"/>
        </w:rPr>
        <w:lastRenderedPageBreak/>
        <w:t xml:space="preserve">enter the world of work. The source of student readiness to face various obstacles in the transition period to enter the world of work is career </w:t>
      </w:r>
      <w:proofErr w:type="gramStart"/>
      <w:r w:rsidRPr="00E809DB">
        <w:rPr>
          <w:rFonts w:ascii="Garamond" w:hAnsi="Garamond"/>
          <w:sz w:val="24"/>
          <w:szCs w:val="24"/>
        </w:rPr>
        <w:t xml:space="preserve">adaptability </w:t>
      </w:r>
      <w:r w:rsidRPr="00E809DB">
        <w:rPr>
          <w:rStyle w:val="FootnoteReference"/>
          <w:rFonts w:ascii="Garamond" w:hAnsi="Garamond"/>
          <w:sz w:val="24"/>
          <w:szCs w:val="24"/>
        </w:rPr>
        <w:footnoteReference w:id="6"/>
      </w:r>
      <w:proofErr w:type="gramEnd"/>
      <w:r w:rsidRPr="00E809DB">
        <w:rPr>
          <w:rFonts w:ascii="Garamond" w:hAnsi="Garamond"/>
          <w:sz w:val="24"/>
          <w:szCs w:val="24"/>
        </w:rPr>
        <w:t xml:space="preserve"> </w:t>
      </w:r>
      <w:r w:rsidRPr="00E809DB">
        <w:rPr>
          <w:rStyle w:val="FootnoteReference"/>
          <w:rFonts w:ascii="Garamond" w:hAnsi="Garamond"/>
          <w:sz w:val="24"/>
          <w:szCs w:val="24"/>
        </w:rPr>
        <w:footnoteReference w:id="7"/>
      </w:r>
      <w:r w:rsidRPr="00E809DB">
        <w:rPr>
          <w:rFonts w:ascii="Garamond" w:hAnsi="Garamond"/>
          <w:sz w:val="24"/>
          <w:szCs w:val="24"/>
        </w:rPr>
        <w:t xml:space="preserve">. . Career Adaptability is an individual's ability to prepare and complete a variety of predictable tasks and be involved in various roles in work and have the ability to overcome unexpected problems that will occur in the work and working conditions undertaken </w:t>
      </w:r>
      <w:r w:rsidRPr="00E809DB">
        <w:rPr>
          <w:rStyle w:val="FootnoteReference"/>
          <w:rFonts w:ascii="Garamond" w:hAnsi="Garamond"/>
          <w:sz w:val="24"/>
          <w:szCs w:val="24"/>
        </w:rPr>
        <w:footnoteReference w:id="8"/>
      </w:r>
    </w:p>
    <w:p w:rsidR="006D47AA" w:rsidRPr="00E809DB" w:rsidRDefault="006D47AA" w:rsidP="006D47AA">
      <w:pPr>
        <w:pStyle w:val="BodyText"/>
        <w:spacing w:line="276" w:lineRule="auto"/>
        <w:ind w:firstLine="567"/>
        <w:rPr>
          <w:rFonts w:ascii="Garamond" w:hAnsi="Garamond"/>
          <w:sz w:val="24"/>
          <w:szCs w:val="24"/>
        </w:rPr>
      </w:pPr>
    </w:p>
    <w:p w:rsidR="006D47AA" w:rsidRPr="00E809DB" w:rsidRDefault="006D47AA" w:rsidP="00E809DB">
      <w:pPr>
        <w:pStyle w:val="BodyText"/>
        <w:spacing w:line="276" w:lineRule="auto"/>
        <w:ind w:firstLine="567"/>
        <w:rPr>
          <w:rFonts w:ascii="Garamond" w:hAnsi="Garamond"/>
          <w:sz w:val="24"/>
          <w:szCs w:val="24"/>
        </w:rPr>
      </w:pPr>
      <w:r w:rsidRPr="00E809DB">
        <w:rPr>
          <w:rFonts w:ascii="Garamond" w:hAnsi="Garamond"/>
          <w:sz w:val="24"/>
          <w:szCs w:val="24"/>
        </w:rPr>
        <w:t>Through this research, it will be described the level of social support obtained by final-year students of the Guidance and Counseling Study Program in obtaining social support. Good social support will help prepare them to enter the world of work.</w:t>
      </w:r>
    </w:p>
    <w:p w:rsidR="006D47AA" w:rsidRPr="00E809DB" w:rsidRDefault="006D47AA" w:rsidP="00E809DB">
      <w:pPr>
        <w:pStyle w:val="BodyText"/>
        <w:spacing w:line="276" w:lineRule="auto"/>
        <w:ind w:firstLine="567"/>
        <w:rPr>
          <w:rFonts w:ascii="Garamond" w:hAnsi="Garamond"/>
          <w:sz w:val="24"/>
          <w:szCs w:val="24"/>
        </w:rPr>
      </w:pPr>
    </w:p>
    <w:p w:rsidR="006D47AA" w:rsidRPr="00E809DB" w:rsidRDefault="006D47AA" w:rsidP="006D47AA">
      <w:pPr>
        <w:pStyle w:val="BodyText"/>
        <w:spacing w:line="276" w:lineRule="auto"/>
        <w:ind w:firstLine="0"/>
        <w:rPr>
          <w:rFonts w:ascii="Garamond" w:hAnsi="Garamond"/>
          <w:b/>
          <w:color w:val="000000"/>
          <w:sz w:val="24"/>
          <w:szCs w:val="24"/>
          <w:shd w:val="clear" w:color="auto" w:fill="FFFFFF"/>
        </w:rPr>
      </w:pPr>
      <w:r w:rsidRPr="00E809DB">
        <w:rPr>
          <w:rFonts w:ascii="Garamond" w:hAnsi="Garamond"/>
          <w:b/>
          <w:color w:val="000000"/>
          <w:sz w:val="24"/>
          <w:szCs w:val="24"/>
          <w:shd w:val="clear" w:color="auto" w:fill="FFFFFF"/>
        </w:rPr>
        <w:t>Research methods</w:t>
      </w:r>
    </w:p>
    <w:p w:rsidR="006D47AA" w:rsidRPr="00E809DB" w:rsidRDefault="006D47AA" w:rsidP="00E809DB">
      <w:pPr>
        <w:spacing w:line="276" w:lineRule="auto"/>
        <w:ind w:firstLine="567"/>
        <w:jc w:val="both"/>
        <w:rPr>
          <w:rFonts w:ascii="Garamond" w:hAnsi="Garamond"/>
          <w:sz w:val="24"/>
          <w:szCs w:val="24"/>
        </w:rPr>
      </w:pPr>
      <w:r w:rsidRPr="00E809DB">
        <w:rPr>
          <w:rFonts w:ascii="Garamond" w:hAnsi="Garamond"/>
          <w:sz w:val="24"/>
          <w:szCs w:val="24"/>
        </w:rPr>
        <w:t>This study uses a quantitative descriptive that describes the form of social support received by students in choosing a career.</w:t>
      </w:r>
    </w:p>
    <w:p w:rsidR="006D47AA" w:rsidRPr="00E809DB" w:rsidRDefault="006D47AA" w:rsidP="00E809DB">
      <w:pPr>
        <w:pStyle w:val="BodyText"/>
        <w:spacing w:line="276" w:lineRule="auto"/>
        <w:ind w:firstLine="567"/>
        <w:rPr>
          <w:rFonts w:ascii="Garamond" w:hAnsi="Garamond"/>
          <w:color w:val="000000"/>
          <w:sz w:val="24"/>
          <w:szCs w:val="24"/>
          <w:shd w:val="clear" w:color="auto" w:fill="FFFFFF"/>
        </w:rPr>
      </w:pPr>
      <w:r w:rsidRPr="00E809DB">
        <w:rPr>
          <w:rFonts w:ascii="Garamond" w:hAnsi="Garamond"/>
          <w:sz w:val="24"/>
          <w:szCs w:val="24"/>
        </w:rPr>
        <w:t>The research subjects were final-year students of the guidance and counseling study program. These final-year students are currently undergoing the process of thesis guidance and Guidance and Counseling Field Practice in Schools with a total sample of 95 people</w:t>
      </w:r>
      <w:proofErr w:type="gramStart"/>
      <w:r w:rsidRPr="00E809DB">
        <w:rPr>
          <w:rFonts w:ascii="Garamond" w:hAnsi="Garamond"/>
          <w:sz w:val="24"/>
          <w:szCs w:val="24"/>
        </w:rPr>
        <w:t>.</w:t>
      </w:r>
      <w:r w:rsidRPr="00E809DB">
        <w:rPr>
          <w:rFonts w:ascii="Garamond" w:hAnsi="Garamond"/>
          <w:color w:val="000000"/>
          <w:sz w:val="24"/>
          <w:szCs w:val="24"/>
          <w:shd w:val="clear" w:color="auto" w:fill="FFFFFF"/>
        </w:rPr>
        <w:t>.</w:t>
      </w:r>
      <w:proofErr w:type="gramEnd"/>
    </w:p>
    <w:p w:rsidR="006D47AA" w:rsidRPr="00E809DB" w:rsidRDefault="006D47AA" w:rsidP="00E809DB">
      <w:pPr>
        <w:spacing w:line="276" w:lineRule="auto"/>
        <w:ind w:firstLine="567"/>
        <w:jc w:val="both"/>
        <w:rPr>
          <w:rFonts w:ascii="Garamond" w:hAnsi="Garamond"/>
          <w:sz w:val="24"/>
          <w:szCs w:val="24"/>
        </w:rPr>
      </w:pPr>
      <w:r w:rsidRPr="00E809DB">
        <w:rPr>
          <w:rFonts w:ascii="Garamond" w:hAnsi="Garamond"/>
          <w:sz w:val="24"/>
          <w:szCs w:val="24"/>
        </w:rPr>
        <w:t xml:space="preserve">Data collection is done by using </w:t>
      </w:r>
      <w:proofErr w:type="spellStart"/>
      <w:r w:rsidRPr="00E809DB">
        <w:rPr>
          <w:rFonts w:ascii="Garamond" w:hAnsi="Garamond"/>
          <w:sz w:val="24"/>
          <w:szCs w:val="24"/>
        </w:rPr>
        <w:t>google</w:t>
      </w:r>
      <w:proofErr w:type="spellEnd"/>
      <w:r w:rsidRPr="00E809DB">
        <w:rPr>
          <w:rFonts w:ascii="Garamond" w:hAnsi="Garamond"/>
          <w:sz w:val="24"/>
          <w:szCs w:val="24"/>
        </w:rPr>
        <w:t xml:space="preserve"> Forms. The scale used is the Social Support Scale which contains 5 aspects, namely social support, emotional support, appreciation social support and instrumental social support, information support, and social network support. The social support scale uses a </w:t>
      </w:r>
      <w:proofErr w:type="spellStart"/>
      <w:r w:rsidRPr="00E809DB">
        <w:rPr>
          <w:rFonts w:ascii="Garamond" w:hAnsi="Garamond"/>
          <w:sz w:val="24"/>
          <w:szCs w:val="24"/>
        </w:rPr>
        <w:t>Likert</w:t>
      </w:r>
      <w:proofErr w:type="spellEnd"/>
      <w:r w:rsidRPr="00E809DB">
        <w:rPr>
          <w:rFonts w:ascii="Garamond" w:hAnsi="Garamond"/>
          <w:sz w:val="24"/>
          <w:szCs w:val="24"/>
        </w:rPr>
        <w:t xml:space="preserve"> scale.</w:t>
      </w:r>
    </w:p>
    <w:p w:rsidR="006D47AA" w:rsidRPr="00E809DB" w:rsidRDefault="006D47AA" w:rsidP="00E809DB">
      <w:pPr>
        <w:spacing w:line="276" w:lineRule="auto"/>
        <w:ind w:firstLine="567"/>
        <w:jc w:val="both"/>
        <w:rPr>
          <w:rFonts w:ascii="Garamond" w:hAnsi="Garamond"/>
          <w:sz w:val="24"/>
          <w:szCs w:val="24"/>
        </w:rPr>
      </w:pPr>
      <w:r w:rsidRPr="00E809DB">
        <w:rPr>
          <w:rFonts w:ascii="Garamond" w:hAnsi="Garamond"/>
          <w:sz w:val="24"/>
          <w:szCs w:val="24"/>
        </w:rPr>
        <w:t>Data analysis techniques using the percentage formula</w:t>
      </w:r>
    </w:p>
    <w:p w:rsidR="006D47AA" w:rsidRPr="00E809DB" w:rsidRDefault="006D47AA" w:rsidP="00E809DB">
      <w:pPr>
        <w:pStyle w:val="BodyText"/>
        <w:spacing w:line="276" w:lineRule="auto"/>
        <w:ind w:firstLine="567"/>
        <w:rPr>
          <w:rFonts w:ascii="Garamond" w:eastAsia="Times New Roman" w:hAnsi="Garamond"/>
          <w:bCs/>
          <w:sz w:val="24"/>
          <w:szCs w:val="24"/>
        </w:rPr>
      </w:pPr>
      <w:r w:rsidRPr="00E809DB">
        <w:rPr>
          <w:rFonts w:ascii="Garamond" w:hAnsi="Garamond" w:cs="Cambria Math"/>
          <w:noProof/>
          <w:sz w:val="24"/>
          <w:szCs w:val="24"/>
          <w:lang w:val="en-US"/>
        </w:rPr>
        <mc:AlternateContent>
          <mc:Choice Requires="wps">
            <w:drawing>
              <wp:anchor distT="0" distB="0" distL="114300" distR="114300" simplePos="0" relativeHeight="251663360" behindDoc="0" locked="0" layoutInCell="1" allowOverlap="1" wp14:anchorId="476C3815" wp14:editId="1DB066D5">
                <wp:simplePos x="0" y="0"/>
                <wp:positionH relativeFrom="column">
                  <wp:posOffset>568960</wp:posOffset>
                </wp:positionH>
                <wp:positionV relativeFrom="paragraph">
                  <wp:posOffset>188595</wp:posOffset>
                </wp:positionV>
                <wp:extent cx="201295" cy="635"/>
                <wp:effectExtent l="6985" t="7620" r="10795" b="1079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44.8pt;margin-top:14.85pt;width:15.8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WVHwIAADw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"/>
            </w:pict>
          </mc:Fallback>
        </mc:AlternateContent>
      </w:r>
      <w:r w:rsidRPr="00E809DB">
        <w:rPr>
          <w:rFonts w:ascii="Cambria Math" w:hAnsi="Cambria Math" w:cs="Cambria Math"/>
          <w:sz w:val="24"/>
          <w:szCs w:val="24"/>
        </w:rPr>
        <w:t>𝑃</w:t>
      </w:r>
      <w:r w:rsidRPr="00E809DB">
        <w:rPr>
          <w:rFonts w:ascii="Garamond" w:hAnsi="Garamond" w:cs="Cambria Math"/>
          <w:sz w:val="24"/>
          <w:szCs w:val="24"/>
        </w:rPr>
        <w:t xml:space="preserve"> </w:t>
      </w:r>
      <w:r w:rsidRPr="00E809DB">
        <w:rPr>
          <w:rFonts w:ascii="Garamond" w:hAnsi="Garamond"/>
          <w:sz w:val="24"/>
          <w:szCs w:val="24"/>
        </w:rPr>
        <w:t xml:space="preserve">=   </w:t>
      </w:r>
      <w:r w:rsidRPr="00E809DB">
        <w:rPr>
          <w:rFonts w:ascii="Garamond" w:hAnsi="Garamond" w:cs="Cambria Math"/>
          <w:sz w:val="24"/>
          <w:szCs w:val="24"/>
        </w:rPr>
        <w:t xml:space="preserve"> </w:t>
      </w:r>
      <w:r w:rsidRPr="00E809DB">
        <w:rPr>
          <w:rFonts w:ascii="Garamond" w:hAnsi="Garamond"/>
          <w:sz w:val="24"/>
          <w:szCs w:val="24"/>
        </w:rPr>
        <w:t>100%</w:t>
      </w:r>
    </w:p>
    <w:p w:rsidR="006D47AA" w:rsidRPr="00E809DB" w:rsidRDefault="006D47AA" w:rsidP="006D47AA">
      <w:pPr>
        <w:pStyle w:val="BodyText"/>
        <w:spacing w:line="276" w:lineRule="auto"/>
        <w:ind w:firstLine="567"/>
        <w:rPr>
          <w:rFonts w:ascii="Garamond" w:hAnsi="Garamond"/>
          <w:color w:val="000000"/>
          <w:sz w:val="24"/>
          <w:szCs w:val="24"/>
          <w:shd w:val="clear" w:color="auto" w:fill="FFFFFF"/>
        </w:rPr>
      </w:pPr>
      <w:r w:rsidRPr="00E809DB">
        <w:rPr>
          <w:rFonts w:ascii="Garamond" w:hAnsi="Garamond"/>
          <w:color w:val="000000"/>
          <w:sz w:val="24"/>
          <w:szCs w:val="24"/>
          <w:shd w:val="clear" w:color="auto" w:fill="FFFFFF"/>
        </w:rPr>
        <w:lastRenderedPageBreak/>
        <w:tab/>
        <w:t>N</w:t>
      </w:r>
    </w:p>
    <w:p w:rsidR="006D47AA" w:rsidRPr="00E809DB" w:rsidRDefault="006D47AA" w:rsidP="006D47AA">
      <w:pPr>
        <w:pStyle w:val="BodyText"/>
        <w:spacing w:line="276" w:lineRule="auto"/>
        <w:rPr>
          <w:rFonts w:ascii="Garamond" w:hAnsi="Garamond"/>
          <w:sz w:val="24"/>
          <w:szCs w:val="24"/>
        </w:rPr>
      </w:pPr>
      <w:r w:rsidRPr="00E809DB">
        <w:rPr>
          <w:rFonts w:ascii="Garamond" w:hAnsi="Garamond"/>
          <w:sz w:val="24"/>
          <w:szCs w:val="24"/>
        </w:rPr>
        <w:t>Information:</w:t>
      </w:r>
    </w:p>
    <w:p w:rsidR="006D47AA" w:rsidRPr="00E809DB" w:rsidRDefault="006D47AA" w:rsidP="006D47AA">
      <w:pPr>
        <w:pStyle w:val="BodyText"/>
        <w:spacing w:line="276" w:lineRule="auto"/>
        <w:ind w:firstLine="567"/>
        <w:rPr>
          <w:rFonts w:ascii="Garamond" w:hAnsi="Garamond"/>
          <w:sz w:val="24"/>
          <w:szCs w:val="24"/>
        </w:rPr>
      </w:pPr>
      <w:r w:rsidRPr="00E809DB">
        <w:rPr>
          <w:rFonts w:ascii="Garamond" w:hAnsi="Garamond"/>
          <w:sz w:val="24"/>
          <w:szCs w:val="24"/>
        </w:rPr>
        <w:t>P = Percentage</w:t>
      </w:r>
    </w:p>
    <w:p w:rsidR="006D47AA" w:rsidRPr="00E809DB" w:rsidRDefault="006D47AA" w:rsidP="00E809DB">
      <w:pPr>
        <w:pStyle w:val="BodyText"/>
        <w:spacing w:line="276" w:lineRule="auto"/>
        <w:ind w:left="720" w:firstLine="0"/>
        <w:rPr>
          <w:rFonts w:ascii="Garamond" w:hAnsi="Garamond"/>
          <w:sz w:val="24"/>
          <w:szCs w:val="24"/>
        </w:rPr>
      </w:pPr>
      <w:r w:rsidRPr="00E809DB">
        <w:rPr>
          <w:rFonts w:ascii="Garamond" w:hAnsi="Garamond"/>
          <w:sz w:val="24"/>
          <w:szCs w:val="24"/>
        </w:rPr>
        <w:t>F = number of responses from respondents</w:t>
      </w:r>
    </w:p>
    <w:p w:rsidR="006D47AA" w:rsidRPr="00E809DB" w:rsidRDefault="006D47AA" w:rsidP="006D47AA">
      <w:pPr>
        <w:pStyle w:val="BodyText"/>
        <w:spacing w:line="276" w:lineRule="auto"/>
        <w:ind w:firstLine="567"/>
        <w:rPr>
          <w:rFonts w:ascii="Garamond" w:hAnsi="Garamond"/>
          <w:color w:val="000000"/>
          <w:sz w:val="24"/>
          <w:szCs w:val="24"/>
          <w:shd w:val="clear" w:color="auto" w:fill="FFFFFF"/>
        </w:rPr>
      </w:pPr>
      <w:r w:rsidRPr="00E809DB">
        <w:rPr>
          <w:rFonts w:ascii="Garamond" w:hAnsi="Garamond"/>
          <w:sz w:val="24"/>
          <w:szCs w:val="24"/>
        </w:rPr>
        <w:t>N = number of respondents</w:t>
      </w:r>
    </w:p>
    <w:p w:rsidR="006D47AA" w:rsidRPr="00E809DB" w:rsidRDefault="006D47AA" w:rsidP="006D47AA">
      <w:pPr>
        <w:pStyle w:val="BodyText"/>
        <w:spacing w:line="276" w:lineRule="auto"/>
        <w:ind w:firstLine="0"/>
        <w:rPr>
          <w:rFonts w:ascii="Garamond" w:hAnsi="Garamond"/>
          <w:sz w:val="24"/>
          <w:szCs w:val="24"/>
        </w:rPr>
      </w:pPr>
    </w:p>
    <w:p w:rsidR="00E809DB" w:rsidRDefault="006D47AA" w:rsidP="00E809DB">
      <w:pPr>
        <w:spacing w:line="276" w:lineRule="auto"/>
        <w:jc w:val="both"/>
        <w:rPr>
          <w:rFonts w:ascii="Garamond" w:hAnsi="Garamond"/>
          <w:sz w:val="24"/>
          <w:szCs w:val="24"/>
        </w:rPr>
      </w:pPr>
      <w:r w:rsidRPr="00E809DB">
        <w:rPr>
          <w:rFonts w:ascii="Garamond" w:hAnsi="Garamond"/>
          <w:sz w:val="24"/>
          <w:szCs w:val="24"/>
        </w:rPr>
        <w:t xml:space="preserve">The results of parental social support criteria will then be analyzed using the following </w:t>
      </w:r>
    </w:p>
    <w:p w:rsidR="006D47AA" w:rsidRPr="00E809DB" w:rsidRDefault="00E809DB" w:rsidP="00E809DB">
      <w:pPr>
        <w:spacing w:line="276" w:lineRule="auto"/>
        <w:jc w:val="both"/>
        <w:rPr>
          <w:rFonts w:ascii="Garamond" w:hAnsi="Garamond"/>
          <w:sz w:val="24"/>
          <w:szCs w:val="24"/>
        </w:rPr>
      </w:pPr>
      <w:r>
        <w:rPr>
          <w:rFonts w:ascii="Garamond" w:hAnsi="Garamond"/>
          <w:sz w:val="24"/>
          <w:szCs w:val="24"/>
        </w:rPr>
        <w:t>T</w:t>
      </w:r>
      <w:r w:rsidR="006D47AA" w:rsidRPr="00E809DB">
        <w:rPr>
          <w:rFonts w:ascii="Garamond" w:hAnsi="Garamond"/>
          <w:sz w:val="24"/>
          <w:szCs w:val="24"/>
        </w:rPr>
        <w:t>able</w:t>
      </w:r>
      <w:proofErr w:type="gramStart"/>
      <w:r w:rsidR="006D47AA" w:rsidRPr="00E809DB">
        <w:rPr>
          <w:rFonts w:ascii="Garamond" w:hAnsi="Garamond"/>
          <w:sz w:val="24"/>
          <w:szCs w:val="24"/>
        </w:rPr>
        <w:t>:1</w:t>
      </w:r>
      <w:proofErr w:type="gramEnd"/>
      <w:r w:rsidR="006D47AA" w:rsidRPr="00E809DB">
        <w:rPr>
          <w:rFonts w:ascii="Garamond" w:hAnsi="Garamond"/>
          <w:sz w:val="24"/>
          <w:szCs w:val="24"/>
        </w:rPr>
        <w:t>: Criteria for Parental Social Support in Career Selection</w:t>
      </w:r>
    </w:p>
    <w:tbl>
      <w:tblPr>
        <w:tblW w:w="4503"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522"/>
        <w:gridCol w:w="2439"/>
      </w:tblGrid>
      <w:tr w:rsidR="006D47AA" w:rsidRPr="00E809DB" w:rsidTr="00697DB1">
        <w:tc>
          <w:tcPr>
            <w:tcW w:w="53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r>
      <w:tr w:rsidR="006D47AA" w:rsidRPr="00E809DB" w:rsidTr="00697DB1">
        <w:tc>
          <w:tcPr>
            <w:tcW w:w="53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r>
      <w:tr w:rsidR="006D47AA" w:rsidRPr="00E809DB" w:rsidTr="00697DB1">
        <w:tc>
          <w:tcPr>
            <w:tcW w:w="53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r>
      <w:tr w:rsidR="006D47AA" w:rsidRPr="00E809DB" w:rsidTr="00697DB1">
        <w:tc>
          <w:tcPr>
            <w:tcW w:w="53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r>
      <w:tr w:rsidR="006D47AA" w:rsidRPr="00E809DB" w:rsidTr="00697DB1">
        <w:tc>
          <w:tcPr>
            <w:tcW w:w="53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r>
      <w:tr w:rsidR="006D47AA" w:rsidRPr="00E809DB" w:rsidTr="00697DB1">
        <w:tc>
          <w:tcPr>
            <w:tcW w:w="53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2445"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r>
    </w:tbl>
    <w:p w:rsidR="006D47AA" w:rsidRPr="00E809DB" w:rsidRDefault="006D47AA" w:rsidP="006D47AA">
      <w:pPr>
        <w:pStyle w:val="BodyText"/>
        <w:spacing w:line="276" w:lineRule="auto"/>
        <w:ind w:firstLine="0"/>
        <w:rPr>
          <w:rFonts w:ascii="Garamond" w:hAnsi="Garamond"/>
          <w:sz w:val="24"/>
          <w:szCs w:val="24"/>
        </w:rPr>
      </w:pPr>
    </w:p>
    <w:p w:rsidR="006D47AA" w:rsidRPr="00E809DB" w:rsidRDefault="006D47AA" w:rsidP="006D47AA">
      <w:pPr>
        <w:pStyle w:val="BodyText"/>
        <w:spacing w:line="276" w:lineRule="auto"/>
        <w:ind w:firstLine="0"/>
        <w:rPr>
          <w:rFonts w:ascii="Garamond" w:hAnsi="Garamond"/>
          <w:b/>
          <w:sz w:val="24"/>
          <w:szCs w:val="24"/>
        </w:rPr>
      </w:pPr>
      <w:r w:rsidRPr="00E809DB">
        <w:rPr>
          <w:rFonts w:ascii="Garamond" w:hAnsi="Garamond"/>
          <w:b/>
          <w:sz w:val="24"/>
          <w:szCs w:val="24"/>
          <w:lang w:val="id-ID"/>
        </w:rPr>
        <w:t xml:space="preserve">Results </w:t>
      </w:r>
      <w:r w:rsidRPr="00E809DB">
        <w:rPr>
          <w:rFonts w:ascii="Garamond" w:hAnsi="Garamond"/>
          <w:b/>
          <w:sz w:val="24"/>
          <w:szCs w:val="24"/>
        </w:rPr>
        <w:t xml:space="preserve">and </w:t>
      </w:r>
      <w:r w:rsidRPr="00E809DB">
        <w:rPr>
          <w:rFonts w:ascii="Garamond" w:hAnsi="Garamond"/>
          <w:b/>
          <w:sz w:val="24"/>
          <w:szCs w:val="24"/>
          <w:lang w:val="id-ID"/>
        </w:rPr>
        <w:t>Discussion</w:t>
      </w:r>
    </w:p>
    <w:p w:rsidR="006D47AA" w:rsidRPr="00E809DB" w:rsidRDefault="006D47AA" w:rsidP="006D47AA">
      <w:pPr>
        <w:pStyle w:val="BodyText"/>
        <w:numPr>
          <w:ilvl w:val="0"/>
          <w:numId w:val="1"/>
        </w:numPr>
        <w:spacing w:line="276" w:lineRule="auto"/>
        <w:ind w:left="426"/>
        <w:rPr>
          <w:rFonts w:ascii="Garamond" w:hAnsi="Garamond"/>
          <w:b/>
          <w:i/>
          <w:sz w:val="24"/>
          <w:szCs w:val="24"/>
        </w:rPr>
      </w:pPr>
      <w:r w:rsidRPr="00E809DB">
        <w:rPr>
          <w:rFonts w:ascii="Garamond" w:hAnsi="Garamond"/>
          <w:b/>
          <w:i/>
          <w:sz w:val="24"/>
          <w:szCs w:val="24"/>
        </w:rPr>
        <w:t>Description of Research Subjects</w:t>
      </w:r>
    </w:p>
    <w:p w:rsidR="006D47AA" w:rsidRPr="00E809DB" w:rsidRDefault="006D47AA" w:rsidP="00E809DB">
      <w:pPr>
        <w:spacing w:line="276" w:lineRule="auto"/>
        <w:ind w:firstLine="426"/>
        <w:jc w:val="both"/>
        <w:rPr>
          <w:rFonts w:ascii="Garamond" w:hAnsi="Garamond"/>
          <w:sz w:val="24"/>
          <w:szCs w:val="24"/>
        </w:rPr>
      </w:pPr>
      <w:r w:rsidRPr="00E809DB">
        <w:rPr>
          <w:rFonts w:ascii="Garamond" w:hAnsi="Garamond"/>
          <w:sz w:val="24"/>
          <w:szCs w:val="24"/>
        </w:rPr>
        <w:t xml:space="preserve">The number of respondents from this study was 95 </w:t>
      </w:r>
      <w:proofErr w:type="gramStart"/>
      <w:r w:rsidRPr="00E809DB">
        <w:rPr>
          <w:rFonts w:ascii="Garamond" w:hAnsi="Garamond"/>
          <w:sz w:val="24"/>
          <w:szCs w:val="24"/>
        </w:rPr>
        <w:t>final-year</w:t>
      </w:r>
      <w:proofErr w:type="gramEnd"/>
      <w:r w:rsidRPr="00E809DB">
        <w:rPr>
          <w:rFonts w:ascii="Garamond" w:hAnsi="Garamond"/>
          <w:sz w:val="24"/>
          <w:szCs w:val="24"/>
        </w:rPr>
        <w:t xml:space="preserve"> Guidance and Counseling Study Program Students. The results of the distribution of respondent data will be classified as follows:</w:t>
      </w:r>
    </w:p>
    <w:p w:rsidR="006D47AA" w:rsidRPr="00E809DB" w:rsidRDefault="006D47AA" w:rsidP="00E809DB">
      <w:pPr>
        <w:spacing w:line="276" w:lineRule="auto"/>
        <w:ind w:firstLine="426"/>
        <w:jc w:val="both"/>
        <w:rPr>
          <w:rFonts w:ascii="Garamond" w:hAnsi="Garamond"/>
          <w:sz w:val="24"/>
          <w:szCs w:val="24"/>
        </w:rPr>
      </w:pPr>
      <w:proofErr w:type="gramStart"/>
      <w:r w:rsidRPr="00E809DB">
        <w:rPr>
          <w:rFonts w:ascii="Garamond" w:hAnsi="Garamond"/>
          <w:sz w:val="24"/>
          <w:szCs w:val="24"/>
        </w:rPr>
        <w:t>Results of the First Research Regarding the Occupation of Parents of Research Subjects.</w:t>
      </w:r>
      <w:proofErr w:type="gramEnd"/>
      <w:r w:rsidRPr="00E809DB">
        <w:rPr>
          <w:rFonts w:ascii="Garamond" w:hAnsi="Garamond"/>
          <w:sz w:val="24"/>
          <w:szCs w:val="24"/>
        </w:rPr>
        <w:t xml:space="preserve"> The results of the first study describe the research subject data including:</w:t>
      </w:r>
    </w:p>
    <w:p w:rsidR="006D47AA" w:rsidRPr="00E809DB" w:rsidRDefault="006D47AA" w:rsidP="006D47AA">
      <w:pPr>
        <w:pStyle w:val="BodyText"/>
        <w:spacing w:line="276" w:lineRule="auto"/>
        <w:ind w:left="426" w:firstLine="0"/>
        <w:rPr>
          <w:rFonts w:ascii="Garamond" w:hAnsi="Garamond"/>
          <w:sz w:val="24"/>
          <w:szCs w:val="24"/>
        </w:rPr>
      </w:pPr>
      <w:r w:rsidRPr="00E809DB">
        <w:rPr>
          <w:rFonts w:ascii="Garamond" w:hAnsi="Garamond"/>
          <w:noProof/>
          <w:sz w:val="24"/>
          <w:szCs w:val="24"/>
          <w:lang w:val="en-US"/>
        </w:rPr>
        <w:drawing>
          <wp:anchor distT="0" distB="0" distL="114300" distR="114300" simplePos="0" relativeHeight="251660288" behindDoc="0" locked="0" layoutInCell="1" allowOverlap="1" wp14:anchorId="054ABC45" wp14:editId="1F255EA3">
            <wp:simplePos x="0" y="0"/>
            <wp:positionH relativeFrom="column">
              <wp:posOffset>253365</wp:posOffset>
            </wp:positionH>
            <wp:positionV relativeFrom="paragraph">
              <wp:posOffset>66675</wp:posOffset>
            </wp:positionV>
            <wp:extent cx="2085975" cy="1425575"/>
            <wp:effectExtent l="0" t="0" r="9525" b="317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17787" t="46155" r="47185" b="6837"/>
                    <a:stretch>
                      <a:fillRect/>
                    </a:stretch>
                  </pic:blipFill>
                  <pic:spPr bwMode="auto">
                    <a:xfrm>
                      <a:off x="0" y="0"/>
                      <a:ext cx="2085975" cy="142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47AA" w:rsidRPr="00E809DB" w:rsidRDefault="006D47AA" w:rsidP="006D47AA">
      <w:pPr>
        <w:pStyle w:val="BodyText"/>
        <w:spacing w:line="276" w:lineRule="auto"/>
        <w:ind w:left="927" w:firstLine="0"/>
        <w:rPr>
          <w:rFonts w:ascii="Garamond" w:hAnsi="Garamond"/>
          <w:color w:val="000000"/>
          <w:sz w:val="24"/>
          <w:szCs w:val="24"/>
          <w:shd w:val="clear" w:color="auto" w:fill="FFFFFF"/>
        </w:rPr>
      </w:pPr>
    </w:p>
    <w:p w:rsidR="006D47AA" w:rsidRPr="00E809DB" w:rsidRDefault="006D47AA" w:rsidP="006D47AA">
      <w:pPr>
        <w:pStyle w:val="BodyText"/>
        <w:spacing w:line="276" w:lineRule="auto"/>
        <w:ind w:left="927" w:firstLine="0"/>
        <w:rPr>
          <w:rFonts w:ascii="Garamond" w:hAnsi="Garamond"/>
          <w:color w:val="000000"/>
          <w:sz w:val="24"/>
          <w:szCs w:val="24"/>
          <w:shd w:val="clear" w:color="auto" w:fill="FFFFFF"/>
        </w:rPr>
      </w:pPr>
    </w:p>
    <w:p w:rsidR="006D47AA" w:rsidRPr="00E809DB" w:rsidRDefault="006D47AA" w:rsidP="006D47AA">
      <w:pPr>
        <w:pStyle w:val="BodyText"/>
        <w:spacing w:line="276" w:lineRule="auto"/>
        <w:ind w:left="927" w:firstLine="0"/>
        <w:rPr>
          <w:rFonts w:ascii="Garamond" w:hAnsi="Garamond"/>
          <w:color w:val="000000"/>
          <w:sz w:val="24"/>
          <w:szCs w:val="24"/>
          <w:shd w:val="clear" w:color="auto" w:fill="FFFFFF"/>
        </w:rPr>
      </w:pPr>
    </w:p>
    <w:p w:rsidR="006D47AA" w:rsidRPr="00E809DB" w:rsidRDefault="006D47AA" w:rsidP="006D47AA">
      <w:pPr>
        <w:pStyle w:val="BodyText"/>
        <w:spacing w:line="276" w:lineRule="auto"/>
        <w:ind w:left="927" w:firstLine="0"/>
        <w:rPr>
          <w:rFonts w:ascii="Garamond" w:hAnsi="Garamond"/>
          <w:color w:val="000000"/>
          <w:sz w:val="24"/>
          <w:szCs w:val="24"/>
          <w:shd w:val="clear" w:color="auto" w:fill="FFFFFF"/>
        </w:rPr>
      </w:pPr>
    </w:p>
    <w:p w:rsidR="006D47AA" w:rsidRPr="00E809DB" w:rsidRDefault="006D47AA" w:rsidP="006D47AA">
      <w:pPr>
        <w:pStyle w:val="BodyText"/>
        <w:spacing w:line="276" w:lineRule="auto"/>
        <w:ind w:left="927" w:firstLine="0"/>
        <w:rPr>
          <w:rFonts w:ascii="Garamond" w:hAnsi="Garamond"/>
          <w:color w:val="000000"/>
          <w:sz w:val="24"/>
          <w:szCs w:val="24"/>
          <w:shd w:val="clear" w:color="auto" w:fill="FFFFFF"/>
        </w:rPr>
      </w:pPr>
    </w:p>
    <w:p w:rsidR="006D47AA" w:rsidRPr="00E809DB" w:rsidRDefault="006D47AA" w:rsidP="006D47AA">
      <w:pPr>
        <w:pStyle w:val="BodyText"/>
        <w:spacing w:line="276" w:lineRule="auto"/>
        <w:rPr>
          <w:rFonts w:ascii="Garamond" w:hAnsi="Garamond"/>
          <w:color w:val="000000"/>
          <w:sz w:val="24"/>
          <w:szCs w:val="24"/>
          <w:shd w:val="clear" w:color="auto" w:fill="FFFFFF"/>
        </w:rPr>
      </w:pPr>
    </w:p>
    <w:p w:rsidR="006D47AA" w:rsidRPr="00E809DB" w:rsidRDefault="006D47AA" w:rsidP="006D47AA">
      <w:pPr>
        <w:pStyle w:val="BodyText"/>
        <w:spacing w:line="276" w:lineRule="auto"/>
        <w:rPr>
          <w:rFonts w:ascii="Garamond" w:hAnsi="Garamond"/>
          <w:color w:val="000000"/>
          <w:sz w:val="24"/>
          <w:szCs w:val="24"/>
          <w:shd w:val="clear" w:color="auto" w:fill="FFFFFF"/>
        </w:rPr>
      </w:pPr>
    </w:p>
    <w:p w:rsidR="006D47AA" w:rsidRPr="00E809DB" w:rsidRDefault="006D47AA" w:rsidP="006D47AA">
      <w:pPr>
        <w:pStyle w:val="BodyText"/>
        <w:spacing w:line="276" w:lineRule="auto"/>
        <w:rPr>
          <w:rFonts w:ascii="Garamond" w:hAnsi="Garamond"/>
          <w:color w:val="000000"/>
          <w:sz w:val="24"/>
          <w:szCs w:val="24"/>
          <w:shd w:val="clear" w:color="auto" w:fill="FFFFFF"/>
        </w:rPr>
      </w:pPr>
      <w:r w:rsidRPr="00E809DB">
        <w:rPr>
          <w:rFonts w:ascii="Garamond" w:hAnsi="Garamond"/>
          <w:color w:val="000000"/>
          <w:sz w:val="24"/>
          <w:szCs w:val="24"/>
          <w:shd w:val="clear" w:color="auto" w:fill="FFFFFF"/>
        </w:rPr>
        <w:t>Based on the data above it is described that:</w:t>
      </w:r>
    </w:p>
    <w:p w:rsidR="006D47AA" w:rsidRPr="00E809DB" w:rsidRDefault="006D47AA" w:rsidP="006D47AA">
      <w:pPr>
        <w:pStyle w:val="BodyText"/>
        <w:numPr>
          <w:ilvl w:val="0"/>
          <w:numId w:val="2"/>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Civil Servants 6.3%</w:t>
      </w:r>
    </w:p>
    <w:p w:rsidR="006D47AA" w:rsidRPr="00E809DB" w:rsidRDefault="006D47AA" w:rsidP="006D47AA">
      <w:pPr>
        <w:pStyle w:val="BodyText"/>
        <w:numPr>
          <w:ilvl w:val="0"/>
          <w:numId w:val="2"/>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Farmers 49.5%</w:t>
      </w:r>
    </w:p>
    <w:p w:rsidR="006D47AA" w:rsidRPr="00E809DB" w:rsidRDefault="006D47AA" w:rsidP="006D47AA">
      <w:pPr>
        <w:pStyle w:val="BodyText"/>
        <w:numPr>
          <w:ilvl w:val="0"/>
          <w:numId w:val="2"/>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Merchants 14.7%</w:t>
      </w:r>
    </w:p>
    <w:p w:rsidR="006D47AA" w:rsidRPr="00E809DB" w:rsidRDefault="006D47AA" w:rsidP="006D47AA">
      <w:pPr>
        <w:pStyle w:val="BodyText"/>
        <w:numPr>
          <w:ilvl w:val="0"/>
          <w:numId w:val="2"/>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Entrepreneur 9.5%</w:t>
      </w:r>
    </w:p>
    <w:p w:rsidR="006D47AA" w:rsidRPr="00E809DB" w:rsidRDefault="006D47AA" w:rsidP="006D47AA">
      <w:pPr>
        <w:pStyle w:val="BodyText"/>
        <w:numPr>
          <w:ilvl w:val="0"/>
          <w:numId w:val="2"/>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Others 20%</w:t>
      </w:r>
    </w:p>
    <w:p w:rsidR="006D47AA" w:rsidRPr="00E809DB" w:rsidRDefault="006D47AA" w:rsidP="006D47AA">
      <w:pPr>
        <w:pStyle w:val="BodyText"/>
        <w:spacing w:line="276" w:lineRule="auto"/>
        <w:ind w:firstLine="426"/>
        <w:rPr>
          <w:rFonts w:ascii="Garamond" w:hAnsi="Garamond"/>
          <w:sz w:val="24"/>
          <w:szCs w:val="24"/>
        </w:rPr>
      </w:pPr>
    </w:p>
    <w:p w:rsidR="006D47AA" w:rsidRPr="00E809DB" w:rsidRDefault="006D47AA" w:rsidP="00E809DB">
      <w:pPr>
        <w:spacing w:line="276" w:lineRule="auto"/>
        <w:ind w:firstLine="426"/>
        <w:jc w:val="both"/>
        <w:rPr>
          <w:rFonts w:ascii="Garamond" w:hAnsi="Garamond"/>
          <w:sz w:val="24"/>
          <w:szCs w:val="24"/>
        </w:rPr>
      </w:pPr>
      <w:r w:rsidRPr="00E809DB">
        <w:rPr>
          <w:rFonts w:ascii="Garamond" w:hAnsi="Garamond"/>
          <w:sz w:val="24"/>
          <w:szCs w:val="24"/>
        </w:rPr>
        <w:lastRenderedPageBreak/>
        <w:t>Based on the data, it is known that in general the occupations of the parents of Final Year students of the Guidance and Counseling Study Program are Farmers (49.5%) and the least number are Civil Servants (6.3%).</w:t>
      </w:r>
    </w:p>
    <w:p w:rsidR="006D47AA" w:rsidRPr="00E809DB" w:rsidRDefault="006D47AA" w:rsidP="00E809DB">
      <w:pPr>
        <w:spacing w:line="276" w:lineRule="auto"/>
        <w:jc w:val="both"/>
        <w:rPr>
          <w:rFonts w:ascii="Garamond" w:hAnsi="Garamond"/>
          <w:sz w:val="24"/>
          <w:szCs w:val="24"/>
        </w:rPr>
      </w:pPr>
      <w:r w:rsidRPr="00E809DB">
        <w:rPr>
          <w:rFonts w:ascii="Garamond" w:hAnsi="Garamond"/>
          <w:sz w:val="24"/>
          <w:szCs w:val="24"/>
        </w:rPr>
        <w:t>The results of the second study describe the level of parental education</w:t>
      </w:r>
    </w:p>
    <w:p w:rsidR="006D47AA" w:rsidRPr="00E809DB" w:rsidRDefault="006D47AA" w:rsidP="006D47AA">
      <w:pPr>
        <w:pStyle w:val="BodyText"/>
        <w:spacing w:line="276" w:lineRule="auto"/>
        <w:ind w:left="426" w:firstLine="0"/>
        <w:rPr>
          <w:rFonts w:ascii="Garamond" w:hAnsi="Garamond"/>
          <w:sz w:val="24"/>
          <w:szCs w:val="24"/>
        </w:rPr>
      </w:pPr>
      <w:r w:rsidRPr="00E809DB">
        <w:rPr>
          <w:rFonts w:ascii="Garamond" w:hAnsi="Garamond"/>
          <w:noProof/>
          <w:sz w:val="24"/>
          <w:szCs w:val="24"/>
          <w:lang w:val="en-US"/>
        </w:rPr>
        <w:drawing>
          <wp:anchor distT="0" distB="0" distL="114300" distR="114300" simplePos="0" relativeHeight="251661312" behindDoc="0" locked="0" layoutInCell="1" allowOverlap="1" wp14:anchorId="77AC5633" wp14:editId="2973CB34">
            <wp:simplePos x="0" y="0"/>
            <wp:positionH relativeFrom="column">
              <wp:posOffset>300990</wp:posOffset>
            </wp:positionH>
            <wp:positionV relativeFrom="paragraph">
              <wp:posOffset>75565</wp:posOffset>
            </wp:positionV>
            <wp:extent cx="1948815" cy="1656080"/>
            <wp:effectExtent l="0" t="0" r="0" b="127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1057" t="36481" r="46155" b="22174"/>
                    <a:stretch>
                      <a:fillRect/>
                    </a:stretch>
                  </pic:blipFill>
                  <pic:spPr bwMode="auto">
                    <a:xfrm>
                      <a:off x="0" y="0"/>
                      <a:ext cx="194881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left="567" w:firstLine="720"/>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sz w:val="24"/>
          <w:szCs w:val="24"/>
        </w:rPr>
      </w:pPr>
    </w:p>
    <w:p w:rsidR="006D47AA" w:rsidRPr="00E809DB" w:rsidRDefault="006D47AA" w:rsidP="006D47AA">
      <w:pPr>
        <w:pStyle w:val="BodyText"/>
        <w:spacing w:line="276" w:lineRule="auto"/>
        <w:ind w:firstLine="426"/>
        <w:rPr>
          <w:rFonts w:ascii="Garamond" w:hAnsi="Garamond"/>
          <w:sz w:val="24"/>
          <w:szCs w:val="24"/>
        </w:rPr>
      </w:pPr>
    </w:p>
    <w:p w:rsidR="006D47AA" w:rsidRPr="00E809DB" w:rsidRDefault="006D47AA" w:rsidP="006D47AA">
      <w:pPr>
        <w:pStyle w:val="BodyText"/>
        <w:spacing w:line="276" w:lineRule="auto"/>
        <w:ind w:firstLine="426"/>
        <w:rPr>
          <w:rFonts w:ascii="Garamond" w:hAnsi="Garamond"/>
          <w:sz w:val="24"/>
          <w:szCs w:val="24"/>
        </w:rPr>
      </w:pPr>
    </w:p>
    <w:p w:rsidR="006D47AA" w:rsidRPr="00E809DB" w:rsidRDefault="006D47AA" w:rsidP="00E809DB">
      <w:pPr>
        <w:spacing w:line="276" w:lineRule="auto"/>
        <w:ind w:firstLine="720"/>
        <w:jc w:val="both"/>
        <w:rPr>
          <w:rFonts w:ascii="Garamond" w:hAnsi="Garamond"/>
          <w:sz w:val="24"/>
          <w:szCs w:val="24"/>
        </w:rPr>
      </w:pPr>
      <w:r w:rsidRPr="00E809DB">
        <w:rPr>
          <w:rFonts w:ascii="Garamond" w:hAnsi="Garamond"/>
          <w:sz w:val="24"/>
          <w:szCs w:val="24"/>
        </w:rPr>
        <w:t>Based on the graph above, it can be described the level of education of the parents of the research subjects, namely:</w:t>
      </w:r>
    </w:p>
    <w:p w:rsidR="006D47AA" w:rsidRPr="00E809DB" w:rsidRDefault="006D47AA" w:rsidP="00E809DB">
      <w:pPr>
        <w:pStyle w:val="BodyText"/>
        <w:numPr>
          <w:ilvl w:val="0"/>
          <w:numId w:val="3"/>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SD 33.7%</w:t>
      </w:r>
    </w:p>
    <w:p w:rsidR="006D47AA" w:rsidRPr="00E809DB" w:rsidRDefault="006D47AA" w:rsidP="00E809DB">
      <w:pPr>
        <w:pStyle w:val="BodyText"/>
        <w:numPr>
          <w:ilvl w:val="0"/>
          <w:numId w:val="3"/>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Junior High School 15.8%</w:t>
      </w:r>
    </w:p>
    <w:p w:rsidR="006D47AA" w:rsidRPr="00E809DB" w:rsidRDefault="006D47AA" w:rsidP="00E809DB">
      <w:pPr>
        <w:pStyle w:val="BodyText"/>
        <w:numPr>
          <w:ilvl w:val="0"/>
          <w:numId w:val="3"/>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SMA 41.1%</w:t>
      </w:r>
    </w:p>
    <w:p w:rsidR="006D47AA" w:rsidRPr="00E809DB" w:rsidRDefault="006D47AA" w:rsidP="00E809DB">
      <w:pPr>
        <w:pStyle w:val="BodyText"/>
        <w:numPr>
          <w:ilvl w:val="0"/>
          <w:numId w:val="3"/>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Undergraduate 9.5%</w:t>
      </w:r>
    </w:p>
    <w:p w:rsidR="006D47AA" w:rsidRPr="00E809DB" w:rsidRDefault="006D47AA" w:rsidP="00E809DB">
      <w:pPr>
        <w:spacing w:line="276" w:lineRule="auto"/>
        <w:ind w:firstLine="720"/>
        <w:jc w:val="both"/>
        <w:rPr>
          <w:rFonts w:ascii="Garamond" w:hAnsi="Garamond"/>
          <w:sz w:val="24"/>
          <w:szCs w:val="24"/>
        </w:rPr>
      </w:pPr>
      <w:r w:rsidRPr="00E809DB">
        <w:rPr>
          <w:rFonts w:ascii="Garamond" w:hAnsi="Garamond"/>
          <w:sz w:val="24"/>
          <w:szCs w:val="24"/>
        </w:rPr>
        <w:t>Based on the graphic data above, it is illustrated that as many as 41.1% of parents of students with high school education level.</w:t>
      </w:r>
    </w:p>
    <w:p w:rsidR="006D47AA" w:rsidRPr="00E809DB" w:rsidRDefault="006D47AA" w:rsidP="00E809DB">
      <w:pPr>
        <w:spacing w:line="276" w:lineRule="auto"/>
        <w:jc w:val="both"/>
        <w:rPr>
          <w:rFonts w:ascii="Garamond" w:hAnsi="Garamond"/>
          <w:sz w:val="24"/>
          <w:szCs w:val="24"/>
        </w:rPr>
      </w:pPr>
      <w:r w:rsidRPr="00E809DB">
        <w:rPr>
          <w:rFonts w:ascii="Garamond" w:hAnsi="Garamond"/>
          <w:sz w:val="24"/>
          <w:szCs w:val="24"/>
        </w:rPr>
        <w:t>The results of the third study describe the range of parents' monthly income</w:t>
      </w: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r w:rsidRPr="00E809DB">
        <w:rPr>
          <w:rFonts w:ascii="Garamond" w:hAnsi="Garamond"/>
          <w:noProof/>
          <w:sz w:val="24"/>
          <w:szCs w:val="24"/>
          <w:lang w:val="en-US"/>
        </w:rPr>
        <w:drawing>
          <wp:anchor distT="0" distB="0" distL="114300" distR="114300" simplePos="0" relativeHeight="251662336" behindDoc="0" locked="0" layoutInCell="1" allowOverlap="1" wp14:anchorId="5A475A4A" wp14:editId="7E5F9EE6">
            <wp:simplePos x="0" y="0"/>
            <wp:positionH relativeFrom="column">
              <wp:posOffset>34925</wp:posOffset>
            </wp:positionH>
            <wp:positionV relativeFrom="paragraph">
              <wp:posOffset>83820</wp:posOffset>
            </wp:positionV>
            <wp:extent cx="2521585" cy="1577340"/>
            <wp:effectExtent l="0" t="0" r="0" b="381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t="38742" r="71613" b="15320"/>
                    <a:stretch>
                      <a:fillRect/>
                    </a:stretch>
                  </pic:blipFill>
                  <pic:spPr bwMode="auto">
                    <a:xfrm>
                      <a:off x="0" y="0"/>
                      <a:ext cx="2521585" cy="1577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6D47AA" w:rsidRPr="00E809DB" w:rsidRDefault="006D47AA" w:rsidP="006D47AA">
      <w:pPr>
        <w:pStyle w:val="BodyText"/>
        <w:spacing w:line="276" w:lineRule="auto"/>
        <w:ind w:firstLine="426"/>
        <w:rPr>
          <w:rFonts w:ascii="Garamond" w:hAnsi="Garamond"/>
          <w:color w:val="000000"/>
          <w:sz w:val="24"/>
          <w:szCs w:val="24"/>
          <w:shd w:val="clear" w:color="auto" w:fill="FFFFFF"/>
        </w:rPr>
      </w:pPr>
    </w:p>
    <w:p w:rsidR="0033578C" w:rsidRPr="00E809DB" w:rsidRDefault="0033578C" w:rsidP="00E809DB">
      <w:pPr>
        <w:spacing w:line="276" w:lineRule="auto"/>
        <w:ind w:firstLine="720"/>
        <w:jc w:val="both"/>
        <w:rPr>
          <w:rFonts w:ascii="Garamond" w:hAnsi="Garamond"/>
          <w:sz w:val="24"/>
          <w:szCs w:val="24"/>
        </w:rPr>
      </w:pPr>
      <w:r w:rsidRPr="00E809DB">
        <w:rPr>
          <w:rFonts w:ascii="Garamond" w:hAnsi="Garamond"/>
          <w:sz w:val="24"/>
          <w:szCs w:val="24"/>
        </w:rPr>
        <w:t>Based on the graphic data above, it can be described that the parental income range is:</w:t>
      </w:r>
    </w:p>
    <w:p w:rsidR="006D47AA" w:rsidRPr="00E809DB" w:rsidRDefault="006D47AA" w:rsidP="00E809DB">
      <w:pPr>
        <w:pStyle w:val="BodyText"/>
        <w:numPr>
          <w:ilvl w:val="0"/>
          <w:numId w:val="4"/>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Under IDR 500,000 amounted to 31.6%</w:t>
      </w:r>
    </w:p>
    <w:p w:rsidR="006D47AA" w:rsidRPr="00E809DB" w:rsidRDefault="006D47AA" w:rsidP="00E809DB">
      <w:pPr>
        <w:pStyle w:val="BodyText"/>
        <w:numPr>
          <w:ilvl w:val="0"/>
          <w:numId w:val="4"/>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 xml:space="preserve">Range </w:t>
      </w:r>
      <w:proofErr w:type="spellStart"/>
      <w:r w:rsidRPr="00E809DB">
        <w:rPr>
          <w:rFonts w:ascii="Garamond" w:hAnsi="Garamond"/>
          <w:color w:val="000000"/>
          <w:sz w:val="24"/>
          <w:szCs w:val="24"/>
          <w:shd w:val="clear" w:color="auto" w:fill="FFFFFF"/>
        </w:rPr>
        <w:t>Rp</w:t>
      </w:r>
      <w:proofErr w:type="spellEnd"/>
      <w:r w:rsidRPr="00E809DB">
        <w:rPr>
          <w:rFonts w:ascii="Garamond" w:hAnsi="Garamond"/>
          <w:color w:val="000000"/>
          <w:sz w:val="24"/>
          <w:szCs w:val="24"/>
          <w:shd w:val="clear" w:color="auto" w:fill="FFFFFF"/>
        </w:rPr>
        <w:t>. 500,000-Rp. 2,000,000 amounted to 58.9%</w:t>
      </w:r>
    </w:p>
    <w:p w:rsidR="006D47AA" w:rsidRPr="00E809DB" w:rsidRDefault="006D47AA" w:rsidP="00E809DB">
      <w:pPr>
        <w:pStyle w:val="BodyText"/>
        <w:numPr>
          <w:ilvl w:val="0"/>
          <w:numId w:val="4"/>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t xml:space="preserve">Range </w:t>
      </w:r>
      <w:proofErr w:type="spellStart"/>
      <w:r w:rsidRPr="00E809DB">
        <w:rPr>
          <w:rFonts w:ascii="Garamond" w:hAnsi="Garamond"/>
          <w:color w:val="000000"/>
          <w:sz w:val="24"/>
          <w:szCs w:val="24"/>
          <w:shd w:val="clear" w:color="auto" w:fill="FFFFFF"/>
        </w:rPr>
        <w:t>Rp</w:t>
      </w:r>
      <w:proofErr w:type="spellEnd"/>
      <w:r w:rsidRPr="00E809DB">
        <w:rPr>
          <w:rFonts w:ascii="Garamond" w:hAnsi="Garamond"/>
          <w:color w:val="000000"/>
          <w:sz w:val="24"/>
          <w:szCs w:val="24"/>
          <w:shd w:val="clear" w:color="auto" w:fill="FFFFFF"/>
        </w:rPr>
        <w:t>. 2,000,000-Rp.4,000,000 amounting to 8.4%</w:t>
      </w:r>
    </w:p>
    <w:p w:rsidR="006D47AA" w:rsidRPr="00E809DB" w:rsidRDefault="006D47AA" w:rsidP="00E809DB">
      <w:pPr>
        <w:pStyle w:val="BodyText"/>
        <w:numPr>
          <w:ilvl w:val="0"/>
          <w:numId w:val="4"/>
        </w:numPr>
        <w:spacing w:line="276" w:lineRule="auto"/>
        <w:ind w:left="426"/>
        <w:rPr>
          <w:rFonts w:ascii="Garamond" w:hAnsi="Garamond"/>
          <w:sz w:val="24"/>
          <w:szCs w:val="24"/>
        </w:rPr>
      </w:pPr>
      <w:r w:rsidRPr="00E809DB">
        <w:rPr>
          <w:rFonts w:ascii="Garamond" w:hAnsi="Garamond"/>
          <w:color w:val="000000"/>
          <w:sz w:val="24"/>
          <w:szCs w:val="24"/>
          <w:shd w:val="clear" w:color="auto" w:fill="FFFFFF"/>
        </w:rPr>
        <w:lastRenderedPageBreak/>
        <w:t>Range above IDR 4,000,000 amounts to 1.1 %</w:t>
      </w:r>
    </w:p>
    <w:p w:rsidR="0033578C" w:rsidRPr="00E809DB" w:rsidRDefault="0033578C" w:rsidP="0033578C">
      <w:pPr>
        <w:jc w:val="both"/>
        <w:rPr>
          <w:rFonts w:ascii="Garamond" w:hAnsi="Garamond"/>
          <w:sz w:val="24"/>
          <w:szCs w:val="24"/>
        </w:rPr>
      </w:pPr>
      <w:r w:rsidRPr="00E809DB">
        <w:rPr>
          <w:rFonts w:ascii="Garamond" w:hAnsi="Garamond"/>
          <w:sz w:val="24"/>
          <w:szCs w:val="24"/>
        </w:rPr>
        <w:t>Based on research data, it is described that the average parental income is 58.9%</w:t>
      </w:r>
    </w:p>
    <w:p w:rsidR="006D47AA" w:rsidRPr="00E809DB" w:rsidRDefault="006D47AA" w:rsidP="006D47AA">
      <w:pPr>
        <w:pStyle w:val="BodyText"/>
        <w:spacing w:line="276" w:lineRule="auto"/>
        <w:ind w:left="426" w:firstLine="0"/>
        <w:rPr>
          <w:rFonts w:ascii="Garamond" w:hAnsi="Garamond"/>
          <w:sz w:val="24"/>
          <w:szCs w:val="24"/>
        </w:rPr>
      </w:pPr>
    </w:p>
    <w:p w:rsidR="0033578C" w:rsidRPr="00E809DB" w:rsidRDefault="0033578C" w:rsidP="00E809DB">
      <w:pPr>
        <w:spacing w:line="276" w:lineRule="auto"/>
        <w:ind w:firstLine="720"/>
        <w:jc w:val="both"/>
        <w:rPr>
          <w:rFonts w:ascii="Garamond" w:hAnsi="Garamond"/>
          <w:sz w:val="24"/>
          <w:szCs w:val="24"/>
        </w:rPr>
      </w:pPr>
      <w:proofErr w:type="gramStart"/>
      <w:r w:rsidRPr="00E809DB">
        <w:rPr>
          <w:rFonts w:ascii="Garamond" w:hAnsi="Garamond"/>
          <w:sz w:val="24"/>
          <w:szCs w:val="24"/>
        </w:rPr>
        <w:t>Research Data on Parental Social Support in Career Selection</w:t>
      </w:r>
      <w:r w:rsidR="00E809DB">
        <w:rPr>
          <w:rFonts w:ascii="Garamond" w:hAnsi="Garamond"/>
          <w:sz w:val="24"/>
          <w:szCs w:val="24"/>
        </w:rPr>
        <w:t>.</w:t>
      </w:r>
      <w:proofErr w:type="gramEnd"/>
      <w:r w:rsidR="00E809DB">
        <w:rPr>
          <w:rFonts w:ascii="Garamond" w:hAnsi="Garamond"/>
          <w:sz w:val="24"/>
          <w:szCs w:val="24"/>
        </w:rPr>
        <w:t xml:space="preserve"> </w:t>
      </w:r>
      <w:r w:rsidRPr="00E809DB">
        <w:rPr>
          <w:rFonts w:ascii="Garamond" w:hAnsi="Garamond"/>
          <w:sz w:val="24"/>
          <w:szCs w:val="24"/>
        </w:rPr>
        <w:t xml:space="preserve">The forms of social support according to </w:t>
      </w:r>
      <w:proofErr w:type="spellStart"/>
      <w:r w:rsidRPr="00E809DB">
        <w:rPr>
          <w:rFonts w:ascii="Garamond" w:hAnsi="Garamond"/>
          <w:sz w:val="24"/>
          <w:szCs w:val="24"/>
        </w:rPr>
        <w:t>Sarafino</w:t>
      </w:r>
      <w:proofErr w:type="spellEnd"/>
      <w:r w:rsidRPr="00E809DB">
        <w:rPr>
          <w:rFonts w:ascii="Garamond" w:hAnsi="Garamond"/>
          <w:sz w:val="24"/>
          <w:szCs w:val="24"/>
        </w:rPr>
        <w:t xml:space="preserve"> (2011) are as follows: (1) Appreciation support, this support can be in the form of positive appreciation to others, encouraging and giving approval of individual ideas or feelings, giving encouragement, and comparing the person positively; (2) Emotional support, namely support related to</w:t>
      </w:r>
    </w:p>
    <w:p w:rsidR="0033578C" w:rsidRPr="00E809DB" w:rsidRDefault="0033578C" w:rsidP="00E809DB">
      <w:pPr>
        <w:spacing w:line="276" w:lineRule="auto"/>
        <w:jc w:val="both"/>
        <w:rPr>
          <w:rFonts w:ascii="Garamond" w:hAnsi="Garamond"/>
          <w:sz w:val="24"/>
          <w:szCs w:val="24"/>
        </w:rPr>
      </w:pPr>
      <w:r w:rsidRPr="00E809DB">
        <w:rPr>
          <w:rFonts w:ascii="Garamond" w:hAnsi="Garamond"/>
          <w:sz w:val="24"/>
          <w:szCs w:val="24"/>
        </w:rPr>
        <w:t xml:space="preserve">There is some social support provided by parents to students, namely </w:t>
      </w:r>
      <w:proofErr w:type="gramStart"/>
      <w:r w:rsidRPr="00E809DB">
        <w:rPr>
          <w:rFonts w:ascii="Garamond" w:hAnsi="Garamond"/>
          <w:sz w:val="24"/>
          <w:szCs w:val="24"/>
        </w:rPr>
        <w:t>Emotional</w:t>
      </w:r>
      <w:proofErr w:type="gramEnd"/>
      <w:r w:rsidRPr="00E809DB">
        <w:rPr>
          <w:rFonts w:ascii="Garamond" w:hAnsi="Garamond"/>
          <w:sz w:val="24"/>
          <w:szCs w:val="24"/>
        </w:rPr>
        <w:t xml:space="preserve"> social support, Awards, Instrumental, Information, and Social Networking.</w:t>
      </w:r>
    </w:p>
    <w:p w:rsidR="006D47AA" w:rsidRPr="00E809DB" w:rsidRDefault="006D47AA" w:rsidP="00E809DB">
      <w:pPr>
        <w:pStyle w:val="BodyText"/>
        <w:spacing w:line="276" w:lineRule="auto"/>
        <w:ind w:firstLine="720"/>
        <w:rPr>
          <w:rFonts w:ascii="Garamond" w:hAnsi="Garamond"/>
          <w:sz w:val="24"/>
          <w:szCs w:val="24"/>
        </w:rPr>
      </w:pPr>
      <w:r w:rsidRPr="00E809DB">
        <w:rPr>
          <w:rFonts w:ascii="Garamond" w:hAnsi="Garamond"/>
          <w:sz w:val="24"/>
          <w:szCs w:val="24"/>
        </w:rPr>
        <w:t>.</w:t>
      </w:r>
    </w:p>
    <w:p w:rsidR="006D47AA" w:rsidRPr="00E809DB" w:rsidRDefault="0033578C" w:rsidP="00E809DB">
      <w:pPr>
        <w:spacing w:line="276" w:lineRule="auto"/>
        <w:ind w:firstLine="720"/>
        <w:jc w:val="both"/>
        <w:rPr>
          <w:rFonts w:ascii="Garamond" w:hAnsi="Garamond"/>
          <w:sz w:val="24"/>
          <w:szCs w:val="24"/>
        </w:rPr>
      </w:pPr>
      <w:r w:rsidRPr="00E809DB">
        <w:rPr>
          <w:rFonts w:ascii="Garamond" w:hAnsi="Garamond"/>
          <w:sz w:val="24"/>
          <w:szCs w:val="24"/>
        </w:rPr>
        <w:t>The following is an overview of the overall results of the form of social support provided by parents to students</w:t>
      </w:r>
      <w:r w:rsidR="006D47AA" w:rsidRPr="00E809DB">
        <w:rPr>
          <w:rFonts w:ascii="Garamond" w:hAnsi="Garamond"/>
          <w:sz w:val="24"/>
          <w:szCs w:val="24"/>
        </w:rPr>
        <w:t>.</w:t>
      </w:r>
    </w:p>
    <w:p w:rsidR="006D47AA" w:rsidRPr="00E809DB" w:rsidRDefault="006D47AA" w:rsidP="00E809DB">
      <w:pPr>
        <w:autoSpaceDE w:val="0"/>
        <w:autoSpaceDN w:val="0"/>
        <w:adjustRightInd w:val="0"/>
        <w:spacing w:line="276" w:lineRule="auto"/>
        <w:ind w:firstLine="426"/>
        <w:jc w:val="both"/>
        <w:rPr>
          <w:rFonts w:ascii="Garamond" w:hAnsi="Garamond"/>
          <w:sz w:val="24"/>
          <w:szCs w:val="24"/>
        </w:rPr>
      </w:pPr>
    </w:p>
    <w:p w:rsidR="006D47AA" w:rsidRPr="00E809DB" w:rsidRDefault="006D47AA" w:rsidP="006D47AA">
      <w:pPr>
        <w:autoSpaceDE w:val="0"/>
        <w:autoSpaceDN w:val="0"/>
        <w:adjustRightInd w:val="0"/>
        <w:ind w:firstLine="426"/>
        <w:jc w:val="left"/>
        <w:rPr>
          <w:rFonts w:ascii="Garamond" w:hAnsi="Garamond"/>
          <w:sz w:val="24"/>
          <w:szCs w:val="24"/>
        </w:rPr>
      </w:pPr>
      <w:r w:rsidRPr="00E809DB">
        <w:rPr>
          <w:rFonts w:ascii="Garamond" w:hAnsi="Garamond"/>
          <w:sz w:val="24"/>
          <w:szCs w:val="24"/>
        </w:rPr>
        <w:t xml:space="preserve">Table 2: Social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12</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65</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13</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p>
        </w:tc>
      </w:tr>
    </w:tbl>
    <w:p w:rsidR="006D47AA" w:rsidRPr="00E809DB" w:rsidRDefault="006D47AA" w:rsidP="006D47AA">
      <w:pPr>
        <w:autoSpaceDE w:val="0"/>
        <w:autoSpaceDN w:val="0"/>
        <w:adjustRightInd w:val="0"/>
        <w:jc w:val="both"/>
        <w:rPr>
          <w:rFonts w:ascii="Garamond" w:hAnsi="Garamond"/>
          <w:sz w:val="24"/>
          <w:szCs w:val="24"/>
        </w:rPr>
      </w:pPr>
    </w:p>
    <w:p w:rsidR="0033578C" w:rsidRPr="00E809DB" w:rsidRDefault="0033578C" w:rsidP="00E809DB">
      <w:pPr>
        <w:spacing w:line="276" w:lineRule="auto"/>
        <w:ind w:firstLine="720"/>
        <w:jc w:val="both"/>
        <w:rPr>
          <w:rFonts w:ascii="Garamond" w:hAnsi="Garamond"/>
          <w:sz w:val="24"/>
          <w:szCs w:val="24"/>
        </w:rPr>
      </w:pPr>
      <w:r w:rsidRPr="00E809DB">
        <w:rPr>
          <w:rFonts w:ascii="Garamond" w:hAnsi="Garamond"/>
          <w:sz w:val="24"/>
          <w:szCs w:val="24"/>
        </w:rPr>
        <w:t>Based on the data above, it can be illustrated that the social support obtained by 12 students is in the Very High category, 65 people are in the High category, 13 people are in the sufficient category, and 5 people are in a low category.</w:t>
      </w:r>
    </w:p>
    <w:p w:rsidR="006D47AA" w:rsidRPr="00E809DB" w:rsidRDefault="006D47AA" w:rsidP="006D47AA">
      <w:pPr>
        <w:autoSpaceDE w:val="0"/>
        <w:autoSpaceDN w:val="0"/>
        <w:adjustRightInd w:val="0"/>
        <w:jc w:val="left"/>
        <w:rPr>
          <w:rFonts w:ascii="Garamond" w:hAnsi="Garamond"/>
          <w:sz w:val="24"/>
          <w:szCs w:val="24"/>
        </w:rPr>
      </w:pPr>
    </w:p>
    <w:tbl>
      <w:tblPr>
        <w:tblW w:w="4253" w:type="dxa"/>
        <w:tblInd w:w="30" w:type="dxa"/>
        <w:tblBorders>
          <w:top w:val="single" w:sz="4" w:space="0" w:color="auto"/>
          <w:bottom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3"/>
        <w:gridCol w:w="567"/>
        <w:gridCol w:w="425"/>
        <w:gridCol w:w="567"/>
        <w:gridCol w:w="709"/>
        <w:gridCol w:w="992"/>
      </w:tblGrid>
      <w:tr w:rsidR="006D47AA" w:rsidRPr="00E809DB" w:rsidTr="00E809DB">
        <w:trPr>
          <w:cantSplit/>
          <w:tblHeader/>
        </w:trPr>
        <w:tc>
          <w:tcPr>
            <w:tcW w:w="4253" w:type="dxa"/>
            <w:gridSpan w:val="6"/>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b/>
                <w:bCs/>
                <w:color w:val="000000"/>
              </w:rPr>
              <w:t>Descriptive Statistics</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rPr>
            </w:pPr>
          </w:p>
        </w:tc>
        <w:tc>
          <w:tcPr>
            <w:tcW w:w="567" w:type="dxa"/>
            <w:shd w:val="clear" w:color="auto" w:fill="FFFFFF"/>
            <w:tcMar>
              <w:top w:w="30" w:type="dxa"/>
              <w:left w:w="30" w:type="dxa"/>
              <w:bottom w:w="30" w:type="dxa"/>
              <w:right w:w="30" w:type="dxa"/>
            </w:tcMar>
            <w:vAlign w:val="bottom"/>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color w:val="000000"/>
              </w:rPr>
              <w:t>N</w:t>
            </w:r>
          </w:p>
        </w:tc>
        <w:tc>
          <w:tcPr>
            <w:tcW w:w="425" w:type="dxa"/>
            <w:shd w:val="clear" w:color="auto" w:fill="FFFFFF"/>
            <w:tcMar>
              <w:top w:w="30" w:type="dxa"/>
              <w:left w:w="30" w:type="dxa"/>
              <w:bottom w:w="30" w:type="dxa"/>
              <w:right w:w="30" w:type="dxa"/>
            </w:tcMar>
            <w:vAlign w:val="bottom"/>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color w:val="000000"/>
              </w:rPr>
              <w:t>Minimum</w:t>
            </w:r>
          </w:p>
        </w:tc>
        <w:tc>
          <w:tcPr>
            <w:tcW w:w="567" w:type="dxa"/>
            <w:shd w:val="clear" w:color="auto" w:fill="FFFFFF"/>
            <w:tcMar>
              <w:top w:w="30" w:type="dxa"/>
              <w:left w:w="30" w:type="dxa"/>
              <w:bottom w:w="30" w:type="dxa"/>
              <w:right w:w="30" w:type="dxa"/>
            </w:tcMar>
            <w:vAlign w:val="bottom"/>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color w:val="000000"/>
              </w:rPr>
              <w:t>Maximum</w:t>
            </w:r>
          </w:p>
        </w:tc>
        <w:tc>
          <w:tcPr>
            <w:tcW w:w="709" w:type="dxa"/>
            <w:shd w:val="clear" w:color="auto" w:fill="FFFFFF"/>
            <w:tcMar>
              <w:top w:w="30" w:type="dxa"/>
              <w:left w:w="30" w:type="dxa"/>
              <w:bottom w:w="30" w:type="dxa"/>
              <w:right w:w="30" w:type="dxa"/>
            </w:tcMar>
            <w:vAlign w:val="bottom"/>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color w:val="000000"/>
              </w:rPr>
              <w:t>Means</w:t>
            </w:r>
          </w:p>
        </w:tc>
        <w:tc>
          <w:tcPr>
            <w:tcW w:w="992" w:type="dxa"/>
            <w:shd w:val="clear" w:color="auto" w:fill="FFFFFF"/>
            <w:tcMar>
              <w:top w:w="30" w:type="dxa"/>
              <w:left w:w="30" w:type="dxa"/>
              <w:bottom w:w="30" w:type="dxa"/>
              <w:right w:w="30" w:type="dxa"/>
            </w:tcMar>
            <w:vAlign w:val="bottom"/>
          </w:tcPr>
          <w:p w:rsidR="006D47AA" w:rsidRPr="00E809DB" w:rsidRDefault="006D47AA" w:rsidP="00697DB1">
            <w:pPr>
              <w:autoSpaceDE w:val="0"/>
              <w:autoSpaceDN w:val="0"/>
              <w:adjustRightInd w:val="0"/>
              <w:spacing w:line="276" w:lineRule="auto"/>
              <w:rPr>
                <w:rFonts w:ascii="Garamond" w:hAnsi="Garamond" w:cs="Arial"/>
                <w:color w:val="000000"/>
              </w:rPr>
            </w:pPr>
            <w:r w:rsidRPr="00E809DB">
              <w:rPr>
                <w:rFonts w:ascii="Garamond" w:hAnsi="Garamond" w:cs="Arial"/>
                <w:color w:val="000000"/>
              </w:rPr>
              <w:t>std. Deviation</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t>Emotional Support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7</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25</w:t>
            </w:r>
          </w:p>
        </w:tc>
        <w:tc>
          <w:tcPr>
            <w:tcW w:w="709"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20.47</w:t>
            </w:r>
          </w:p>
        </w:tc>
        <w:tc>
          <w:tcPr>
            <w:tcW w:w="992"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3,943</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lastRenderedPageBreak/>
              <w:t>Award Support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10</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25</w:t>
            </w:r>
          </w:p>
        </w:tc>
        <w:tc>
          <w:tcPr>
            <w:tcW w:w="709"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20.21</w:t>
            </w:r>
          </w:p>
        </w:tc>
        <w:tc>
          <w:tcPr>
            <w:tcW w:w="992"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3,803</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t>Instrumental Support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7</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25</w:t>
            </w:r>
          </w:p>
        </w:tc>
        <w:tc>
          <w:tcPr>
            <w:tcW w:w="709"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19.96</w:t>
            </w:r>
          </w:p>
        </w:tc>
        <w:tc>
          <w:tcPr>
            <w:tcW w:w="992"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4,538</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t>Information Support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5</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25</w:t>
            </w:r>
          </w:p>
        </w:tc>
        <w:tc>
          <w:tcPr>
            <w:tcW w:w="709"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18.98</w:t>
            </w:r>
          </w:p>
        </w:tc>
        <w:tc>
          <w:tcPr>
            <w:tcW w:w="992"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4,458</w:t>
            </w:r>
          </w:p>
        </w:tc>
      </w:tr>
      <w:tr w:rsidR="006D47AA" w:rsidRPr="00E809DB" w:rsidTr="00E809DB">
        <w:trPr>
          <w:cantSplit/>
          <w:tblHeader/>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t>Social Network Support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8</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20</w:t>
            </w:r>
          </w:p>
        </w:tc>
        <w:tc>
          <w:tcPr>
            <w:tcW w:w="709"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15.26</w:t>
            </w:r>
          </w:p>
        </w:tc>
        <w:tc>
          <w:tcPr>
            <w:tcW w:w="992"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2,519</w:t>
            </w:r>
          </w:p>
        </w:tc>
      </w:tr>
      <w:tr w:rsidR="006D47AA" w:rsidRPr="00E809DB" w:rsidTr="00E809DB">
        <w:trPr>
          <w:cantSplit/>
        </w:trPr>
        <w:tc>
          <w:tcPr>
            <w:tcW w:w="993"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cs="Arial"/>
                <w:color w:val="000000"/>
              </w:rPr>
            </w:pPr>
            <w:r w:rsidRPr="00E809DB">
              <w:rPr>
                <w:rFonts w:ascii="Garamond" w:hAnsi="Garamond" w:cs="Arial"/>
                <w:color w:val="000000"/>
              </w:rPr>
              <w:t>Valid N (</w:t>
            </w:r>
            <w:proofErr w:type="spellStart"/>
            <w:r w:rsidRPr="00E809DB">
              <w:rPr>
                <w:rFonts w:ascii="Garamond" w:hAnsi="Garamond" w:cs="Arial"/>
                <w:color w:val="000000"/>
              </w:rPr>
              <w:t>listwise</w:t>
            </w:r>
            <w:proofErr w:type="spellEnd"/>
            <w:r w:rsidRPr="00E809DB">
              <w:rPr>
                <w:rFonts w:ascii="Garamond" w:hAnsi="Garamond" w:cs="Arial"/>
                <w:color w:val="000000"/>
              </w:rPr>
              <w:t>)</w:t>
            </w:r>
          </w:p>
        </w:tc>
        <w:tc>
          <w:tcPr>
            <w:tcW w:w="567" w:type="dxa"/>
            <w:shd w:val="clear" w:color="auto" w:fill="FFFFFF"/>
            <w:tcMar>
              <w:top w:w="30" w:type="dxa"/>
              <w:left w:w="30" w:type="dxa"/>
              <w:bottom w:w="30" w:type="dxa"/>
              <w:right w:w="30" w:type="dxa"/>
            </w:tcMar>
            <w:vAlign w:val="center"/>
          </w:tcPr>
          <w:p w:rsidR="006D47AA" w:rsidRPr="00E809DB" w:rsidRDefault="006D47AA" w:rsidP="00697DB1">
            <w:pPr>
              <w:autoSpaceDE w:val="0"/>
              <w:autoSpaceDN w:val="0"/>
              <w:adjustRightInd w:val="0"/>
              <w:spacing w:line="276" w:lineRule="auto"/>
              <w:jc w:val="right"/>
              <w:rPr>
                <w:rFonts w:ascii="Garamond" w:hAnsi="Garamond" w:cs="Arial"/>
                <w:color w:val="000000"/>
              </w:rPr>
            </w:pPr>
            <w:r w:rsidRPr="00E809DB">
              <w:rPr>
                <w:rFonts w:ascii="Garamond" w:hAnsi="Garamond" w:cs="Arial"/>
                <w:color w:val="000000"/>
              </w:rPr>
              <w:t>95</w:t>
            </w:r>
          </w:p>
        </w:tc>
        <w:tc>
          <w:tcPr>
            <w:tcW w:w="425"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rPr>
            </w:pPr>
          </w:p>
        </w:tc>
        <w:tc>
          <w:tcPr>
            <w:tcW w:w="567"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rPr>
            </w:pPr>
          </w:p>
        </w:tc>
        <w:tc>
          <w:tcPr>
            <w:tcW w:w="709"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rPr>
            </w:pPr>
          </w:p>
        </w:tc>
        <w:tc>
          <w:tcPr>
            <w:tcW w:w="992" w:type="dxa"/>
            <w:shd w:val="clear" w:color="auto" w:fill="FFFFFF"/>
            <w:tcMar>
              <w:top w:w="30" w:type="dxa"/>
              <w:left w:w="30" w:type="dxa"/>
              <w:bottom w:w="30" w:type="dxa"/>
              <w:right w:w="30" w:type="dxa"/>
            </w:tcMar>
          </w:tcPr>
          <w:p w:rsidR="006D47AA" w:rsidRPr="00E809DB" w:rsidRDefault="006D47AA" w:rsidP="00697DB1">
            <w:pPr>
              <w:autoSpaceDE w:val="0"/>
              <w:autoSpaceDN w:val="0"/>
              <w:adjustRightInd w:val="0"/>
              <w:spacing w:line="276" w:lineRule="auto"/>
              <w:jc w:val="left"/>
              <w:rPr>
                <w:rFonts w:ascii="Garamond" w:hAnsi="Garamond"/>
              </w:rPr>
            </w:pPr>
          </w:p>
        </w:tc>
      </w:tr>
    </w:tbl>
    <w:p w:rsidR="006D47AA" w:rsidRPr="00E809DB" w:rsidRDefault="006D47AA" w:rsidP="006D47AA">
      <w:pPr>
        <w:autoSpaceDE w:val="0"/>
        <w:autoSpaceDN w:val="0"/>
        <w:adjustRightInd w:val="0"/>
        <w:spacing w:line="276" w:lineRule="auto"/>
        <w:jc w:val="both"/>
        <w:rPr>
          <w:rFonts w:ascii="Garamond" w:hAnsi="Garamond"/>
          <w:sz w:val="24"/>
          <w:szCs w:val="24"/>
        </w:rPr>
      </w:pPr>
    </w:p>
    <w:p w:rsidR="0033578C" w:rsidRPr="00E809DB" w:rsidRDefault="0033578C" w:rsidP="00E809DB">
      <w:pPr>
        <w:spacing w:line="276" w:lineRule="auto"/>
        <w:ind w:firstLine="720"/>
        <w:jc w:val="both"/>
        <w:rPr>
          <w:rFonts w:ascii="Garamond" w:hAnsi="Garamond"/>
          <w:sz w:val="24"/>
          <w:szCs w:val="24"/>
        </w:rPr>
      </w:pPr>
      <w:r w:rsidRPr="00E809DB">
        <w:rPr>
          <w:rFonts w:ascii="Garamond" w:hAnsi="Garamond"/>
          <w:sz w:val="24"/>
          <w:szCs w:val="24"/>
        </w:rPr>
        <w:t>Based on the above data the average score of emotional support is 20.47, appreciation support is 20.21, instrumental support is 19.96, information support is 18.98, and social network support is 15.26. From the data above, the highest social support was obtained by students, namely emotional support.</w:t>
      </w:r>
    </w:p>
    <w:p w:rsidR="006D47AA" w:rsidRPr="00E809DB" w:rsidRDefault="006D47AA" w:rsidP="006D47AA">
      <w:pPr>
        <w:autoSpaceDE w:val="0"/>
        <w:autoSpaceDN w:val="0"/>
        <w:adjustRightInd w:val="0"/>
        <w:jc w:val="both"/>
        <w:rPr>
          <w:rFonts w:ascii="Garamond" w:hAnsi="Garamond"/>
          <w:sz w:val="24"/>
          <w:szCs w:val="24"/>
        </w:rPr>
      </w:pPr>
    </w:p>
    <w:p w:rsidR="006D47AA" w:rsidRPr="00E809DB" w:rsidRDefault="006D47AA" w:rsidP="006D47AA">
      <w:pPr>
        <w:autoSpaceDE w:val="0"/>
        <w:autoSpaceDN w:val="0"/>
        <w:adjustRightInd w:val="0"/>
        <w:ind w:left="142"/>
        <w:jc w:val="left"/>
        <w:rPr>
          <w:rFonts w:ascii="Garamond" w:hAnsi="Garamond"/>
          <w:sz w:val="24"/>
          <w:szCs w:val="24"/>
        </w:rPr>
      </w:pPr>
      <w:r w:rsidRPr="00E809DB">
        <w:rPr>
          <w:rFonts w:ascii="Garamond" w:hAnsi="Garamond"/>
          <w:sz w:val="24"/>
          <w:szCs w:val="24"/>
        </w:rPr>
        <w:t xml:space="preserve">Table 2: Emotional Social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45</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30</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16</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4</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w:t>
            </w:r>
          </w:p>
        </w:tc>
      </w:tr>
    </w:tbl>
    <w:p w:rsidR="00E809DB" w:rsidRDefault="00E809DB" w:rsidP="00572E01">
      <w:pPr>
        <w:rPr>
          <w:rFonts w:ascii="Garamond" w:hAnsi="Garamond"/>
          <w:sz w:val="24"/>
          <w:szCs w:val="24"/>
        </w:rPr>
      </w:pPr>
    </w:p>
    <w:p w:rsidR="00572E01" w:rsidRPr="00E809DB" w:rsidRDefault="00572E01" w:rsidP="00E809DB">
      <w:pPr>
        <w:spacing w:line="276" w:lineRule="auto"/>
        <w:ind w:firstLine="720"/>
        <w:jc w:val="both"/>
        <w:rPr>
          <w:rFonts w:ascii="Garamond" w:hAnsi="Garamond"/>
          <w:sz w:val="24"/>
          <w:szCs w:val="24"/>
        </w:rPr>
      </w:pPr>
      <w:r w:rsidRPr="00E809DB">
        <w:rPr>
          <w:rFonts w:ascii="Garamond" w:hAnsi="Garamond"/>
          <w:sz w:val="24"/>
          <w:szCs w:val="24"/>
        </w:rPr>
        <w:t>Based on the data above, it is illustrated that social-emotional support from parents is very high, 45 people, 30 people are high, 16 people are in the sufficient category, and 4 people are in a low category.</w:t>
      </w:r>
    </w:p>
    <w:p w:rsidR="006D47AA" w:rsidRPr="00E809DB" w:rsidRDefault="006D47AA" w:rsidP="006D47AA">
      <w:pPr>
        <w:autoSpaceDE w:val="0"/>
        <w:autoSpaceDN w:val="0"/>
        <w:adjustRightInd w:val="0"/>
        <w:jc w:val="left"/>
        <w:rPr>
          <w:rFonts w:ascii="Garamond" w:hAnsi="Garamond"/>
          <w:sz w:val="24"/>
          <w:szCs w:val="24"/>
        </w:rPr>
      </w:pPr>
    </w:p>
    <w:p w:rsidR="006D47AA" w:rsidRPr="00E809DB" w:rsidRDefault="006D47AA" w:rsidP="006D47AA">
      <w:pPr>
        <w:autoSpaceDE w:val="0"/>
        <w:autoSpaceDN w:val="0"/>
        <w:adjustRightInd w:val="0"/>
        <w:jc w:val="left"/>
        <w:rPr>
          <w:rFonts w:ascii="Garamond" w:hAnsi="Garamond"/>
          <w:sz w:val="24"/>
          <w:szCs w:val="24"/>
        </w:rPr>
      </w:pPr>
      <w:r w:rsidRPr="00E809DB">
        <w:rPr>
          <w:rFonts w:ascii="Garamond" w:hAnsi="Garamond"/>
          <w:sz w:val="24"/>
          <w:szCs w:val="24"/>
        </w:rPr>
        <w:t xml:space="preserve">Table 3: Appreciation Social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37</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39</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14</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w:t>
            </w:r>
          </w:p>
        </w:tc>
      </w:tr>
    </w:tbl>
    <w:p w:rsidR="00E809DB" w:rsidRDefault="00E809DB" w:rsidP="00E809DB">
      <w:pPr>
        <w:spacing w:line="276" w:lineRule="auto"/>
        <w:jc w:val="both"/>
        <w:rPr>
          <w:rFonts w:ascii="Garamond" w:hAnsi="Garamond"/>
          <w:sz w:val="24"/>
          <w:szCs w:val="24"/>
        </w:rPr>
      </w:pPr>
    </w:p>
    <w:p w:rsidR="00572E01" w:rsidRPr="00E809DB" w:rsidRDefault="00572E01" w:rsidP="00E809DB">
      <w:pPr>
        <w:spacing w:line="276" w:lineRule="auto"/>
        <w:ind w:firstLine="720"/>
        <w:jc w:val="both"/>
        <w:rPr>
          <w:rFonts w:ascii="Garamond" w:hAnsi="Garamond"/>
          <w:sz w:val="24"/>
          <w:szCs w:val="24"/>
        </w:rPr>
      </w:pPr>
      <w:r w:rsidRPr="00E809DB">
        <w:rPr>
          <w:rFonts w:ascii="Garamond" w:hAnsi="Garamond"/>
          <w:sz w:val="24"/>
          <w:szCs w:val="24"/>
        </w:rPr>
        <w:lastRenderedPageBreak/>
        <w:t>Based on the data above, it is illustrated that 37 students fall into the very high category, 39 students fall into the high category, 14 students fall into the moderate category and 1 person falls into the low category.</w:t>
      </w:r>
    </w:p>
    <w:p w:rsidR="006D47AA" w:rsidRPr="00E809DB" w:rsidRDefault="006D47AA" w:rsidP="006D47AA">
      <w:pPr>
        <w:pStyle w:val="BodyText"/>
        <w:spacing w:line="276" w:lineRule="auto"/>
        <w:ind w:firstLine="0"/>
        <w:rPr>
          <w:rFonts w:ascii="Garamond" w:hAnsi="Garamond"/>
          <w:sz w:val="24"/>
          <w:szCs w:val="24"/>
        </w:rPr>
      </w:pPr>
    </w:p>
    <w:p w:rsidR="006D47AA" w:rsidRPr="00E809DB" w:rsidRDefault="006D47AA" w:rsidP="006D47AA">
      <w:pPr>
        <w:autoSpaceDE w:val="0"/>
        <w:autoSpaceDN w:val="0"/>
        <w:adjustRightInd w:val="0"/>
        <w:jc w:val="left"/>
        <w:rPr>
          <w:rFonts w:ascii="Garamond" w:hAnsi="Garamond"/>
          <w:sz w:val="24"/>
          <w:szCs w:val="24"/>
        </w:rPr>
      </w:pPr>
      <w:r w:rsidRPr="00E809DB">
        <w:rPr>
          <w:rFonts w:ascii="Garamond" w:hAnsi="Garamond"/>
          <w:sz w:val="24"/>
          <w:szCs w:val="24"/>
        </w:rPr>
        <w:t xml:space="preserve">Table 4: Instrumental Social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31</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17</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9</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2</w:t>
            </w:r>
          </w:p>
        </w:tc>
      </w:tr>
    </w:tbl>
    <w:p w:rsidR="00E809DB" w:rsidRDefault="00E809DB" w:rsidP="00572E01">
      <w:pPr>
        <w:rPr>
          <w:rFonts w:ascii="Garamond" w:hAnsi="Garamond"/>
          <w:sz w:val="24"/>
          <w:szCs w:val="24"/>
        </w:rPr>
      </w:pPr>
    </w:p>
    <w:p w:rsidR="00572E01" w:rsidRPr="00E809DB" w:rsidRDefault="00572E01" w:rsidP="00E809DB">
      <w:pPr>
        <w:spacing w:line="276" w:lineRule="auto"/>
        <w:ind w:firstLine="720"/>
        <w:jc w:val="both"/>
        <w:rPr>
          <w:rFonts w:ascii="Garamond" w:hAnsi="Garamond"/>
          <w:sz w:val="24"/>
          <w:szCs w:val="24"/>
        </w:rPr>
      </w:pPr>
      <w:r w:rsidRPr="00E809DB">
        <w:rPr>
          <w:rFonts w:ascii="Garamond" w:hAnsi="Garamond"/>
          <w:sz w:val="24"/>
          <w:szCs w:val="24"/>
        </w:rPr>
        <w:t>Based on the data above, it is illustrated that the form of instrumental social support is very high 36 people, 31 people in the high category, 17 people in the sufficient category, 9 people in the low category, and 2 people in the very low category.</w:t>
      </w:r>
    </w:p>
    <w:p w:rsidR="006D47AA" w:rsidRPr="00E809DB" w:rsidRDefault="006D47AA" w:rsidP="006D47AA">
      <w:pPr>
        <w:autoSpaceDE w:val="0"/>
        <w:autoSpaceDN w:val="0"/>
        <w:adjustRightInd w:val="0"/>
        <w:jc w:val="left"/>
        <w:rPr>
          <w:rFonts w:ascii="Garamond" w:hAnsi="Garamond"/>
          <w:sz w:val="24"/>
          <w:szCs w:val="24"/>
        </w:rPr>
      </w:pPr>
    </w:p>
    <w:p w:rsidR="006D47AA" w:rsidRPr="00E809DB" w:rsidRDefault="006D47AA" w:rsidP="006D47AA">
      <w:pPr>
        <w:autoSpaceDE w:val="0"/>
        <w:autoSpaceDN w:val="0"/>
        <w:adjustRightInd w:val="0"/>
        <w:jc w:val="left"/>
        <w:rPr>
          <w:rFonts w:ascii="Garamond" w:hAnsi="Garamond"/>
          <w:sz w:val="24"/>
          <w:szCs w:val="24"/>
        </w:rPr>
      </w:pPr>
      <w:r w:rsidRPr="00E809DB">
        <w:rPr>
          <w:rFonts w:ascii="Garamond" w:hAnsi="Garamond"/>
          <w:sz w:val="24"/>
          <w:szCs w:val="24"/>
        </w:rPr>
        <w:t xml:space="preserve">Table 5: Information Social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28</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31</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27</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7</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2</w:t>
            </w:r>
          </w:p>
        </w:tc>
      </w:tr>
    </w:tbl>
    <w:p w:rsidR="00E809DB" w:rsidRDefault="00E809DB" w:rsidP="00572E01">
      <w:pPr>
        <w:rPr>
          <w:rFonts w:ascii="Garamond" w:hAnsi="Garamond"/>
          <w:sz w:val="24"/>
          <w:szCs w:val="24"/>
        </w:rPr>
      </w:pPr>
    </w:p>
    <w:p w:rsidR="00572E01" w:rsidRPr="00E809DB" w:rsidRDefault="00572E01" w:rsidP="00E809DB">
      <w:pPr>
        <w:spacing w:line="276" w:lineRule="auto"/>
        <w:ind w:firstLine="720"/>
        <w:jc w:val="both"/>
        <w:rPr>
          <w:rFonts w:ascii="Garamond" w:hAnsi="Garamond"/>
          <w:sz w:val="24"/>
          <w:szCs w:val="24"/>
        </w:rPr>
      </w:pPr>
      <w:r w:rsidRPr="00E809DB">
        <w:rPr>
          <w:rFonts w:ascii="Garamond" w:hAnsi="Garamond"/>
          <w:sz w:val="24"/>
          <w:szCs w:val="24"/>
        </w:rPr>
        <w:t>Based on the social support data, the information above illustrates that 38 categories are in the very high category, 31 people are in the high category, 27 people are in the sufficient category, 7 students are in a low category, and 2 people are in the very low category.</w:t>
      </w:r>
    </w:p>
    <w:p w:rsidR="006D47AA" w:rsidRPr="00E809DB" w:rsidRDefault="006D47AA" w:rsidP="006D47AA">
      <w:pPr>
        <w:autoSpaceDE w:val="0"/>
        <w:autoSpaceDN w:val="0"/>
        <w:adjustRightInd w:val="0"/>
        <w:ind w:left="142"/>
        <w:jc w:val="left"/>
        <w:rPr>
          <w:rFonts w:ascii="Garamond" w:hAnsi="Garamond"/>
          <w:sz w:val="24"/>
          <w:szCs w:val="24"/>
        </w:rPr>
      </w:pPr>
    </w:p>
    <w:p w:rsidR="006D47AA" w:rsidRPr="00E809DB" w:rsidRDefault="006D47AA" w:rsidP="006D47AA">
      <w:pPr>
        <w:autoSpaceDE w:val="0"/>
        <w:autoSpaceDN w:val="0"/>
        <w:adjustRightInd w:val="0"/>
        <w:ind w:left="142"/>
        <w:jc w:val="left"/>
        <w:rPr>
          <w:rFonts w:ascii="Garamond" w:hAnsi="Garamond"/>
          <w:sz w:val="24"/>
          <w:szCs w:val="24"/>
        </w:rPr>
      </w:pPr>
      <w:r w:rsidRPr="00E809DB">
        <w:rPr>
          <w:rFonts w:ascii="Garamond" w:hAnsi="Garamond"/>
          <w:sz w:val="24"/>
          <w:szCs w:val="24"/>
        </w:rPr>
        <w:t xml:space="preserve">Table 2: Social Network Support </w:t>
      </w:r>
      <w:proofErr w:type="gramStart"/>
      <w:r w:rsidRPr="00E809DB">
        <w:rPr>
          <w:rFonts w:ascii="Garamond" w:hAnsi="Garamond"/>
          <w:sz w:val="24"/>
          <w:szCs w:val="24"/>
        </w:rPr>
        <w:t>From</w:t>
      </w:r>
      <w:proofErr w:type="gramEnd"/>
      <w:r w:rsidRPr="00E809DB">
        <w:rPr>
          <w:rFonts w:ascii="Garamond" w:hAnsi="Garamond"/>
          <w:sz w:val="24"/>
          <w:szCs w:val="24"/>
        </w:rPr>
        <w:t xml:space="preserve"> Parents</w:t>
      </w:r>
    </w:p>
    <w:tbl>
      <w:tblPr>
        <w:tblW w:w="446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2"/>
        <w:gridCol w:w="1324"/>
        <w:gridCol w:w="1314"/>
        <w:gridCol w:w="1285"/>
      </w:tblGrid>
      <w:tr w:rsidR="006D47AA" w:rsidRPr="00E809DB" w:rsidTr="00697DB1">
        <w:tc>
          <w:tcPr>
            <w:tcW w:w="524"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No</w:t>
            </w:r>
          </w:p>
        </w:tc>
        <w:tc>
          <w:tcPr>
            <w:tcW w:w="1377"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Criteria</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intervals</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b/>
                <w:sz w:val="24"/>
                <w:szCs w:val="24"/>
              </w:rPr>
            </w:pPr>
            <w:r w:rsidRPr="00E809DB">
              <w:rPr>
                <w:rFonts w:ascii="Garamond" w:hAnsi="Garamond"/>
                <w:b/>
                <w:sz w:val="24"/>
                <w:szCs w:val="24"/>
              </w:rPr>
              <w:t>Frequency</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1</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high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85%-100%</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12</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2</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Tall</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69 % - 84%</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65</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lastRenderedPageBreak/>
              <w:t>3</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Enough</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53 %- 68%</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14</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4</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36 %- 52%</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4</w:t>
            </w:r>
          </w:p>
        </w:tc>
      </w:tr>
      <w:tr w:rsidR="006D47AA" w:rsidRPr="00E809DB" w:rsidTr="00697DB1">
        <w:tc>
          <w:tcPr>
            <w:tcW w:w="524"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5</w:t>
            </w:r>
          </w:p>
        </w:tc>
        <w:tc>
          <w:tcPr>
            <w:tcW w:w="1377" w:type="dxa"/>
            <w:shd w:val="clear" w:color="auto" w:fill="auto"/>
          </w:tcPr>
          <w:p w:rsidR="006D47AA" w:rsidRPr="00E809DB" w:rsidRDefault="006D47AA" w:rsidP="00697DB1">
            <w:pPr>
              <w:pStyle w:val="BodyText"/>
              <w:spacing w:line="276" w:lineRule="auto"/>
              <w:ind w:firstLine="0"/>
              <w:rPr>
                <w:rFonts w:ascii="Garamond" w:hAnsi="Garamond"/>
                <w:sz w:val="24"/>
                <w:szCs w:val="24"/>
              </w:rPr>
            </w:pPr>
            <w:r w:rsidRPr="00E809DB">
              <w:rPr>
                <w:rFonts w:ascii="Garamond" w:hAnsi="Garamond"/>
                <w:sz w:val="24"/>
                <w:szCs w:val="24"/>
              </w:rPr>
              <w:t>Very low</w:t>
            </w:r>
          </w:p>
        </w:tc>
        <w:tc>
          <w:tcPr>
            <w:tcW w:w="1351"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r w:rsidRPr="00E809DB">
              <w:rPr>
                <w:rFonts w:ascii="Garamond" w:hAnsi="Garamond"/>
                <w:sz w:val="24"/>
                <w:szCs w:val="24"/>
              </w:rPr>
              <w:t>0 – 35%</w:t>
            </w:r>
          </w:p>
        </w:tc>
        <w:tc>
          <w:tcPr>
            <w:tcW w:w="1213" w:type="dxa"/>
            <w:shd w:val="clear" w:color="auto" w:fill="auto"/>
          </w:tcPr>
          <w:p w:rsidR="006D47AA" w:rsidRPr="00E809DB" w:rsidRDefault="006D47AA" w:rsidP="00697DB1">
            <w:pPr>
              <w:pStyle w:val="BodyText"/>
              <w:spacing w:line="276" w:lineRule="auto"/>
              <w:ind w:firstLine="0"/>
              <w:jc w:val="center"/>
              <w:rPr>
                <w:rFonts w:ascii="Garamond" w:hAnsi="Garamond"/>
                <w:sz w:val="24"/>
                <w:szCs w:val="24"/>
              </w:rPr>
            </w:pPr>
          </w:p>
        </w:tc>
      </w:tr>
    </w:tbl>
    <w:p w:rsidR="00572E01" w:rsidRPr="00E809DB" w:rsidRDefault="00572E01" w:rsidP="00E809DB">
      <w:pPr>
        <w:spacing w:line="276" w:lineRule="auto"/>
        <w:jc w:val="both"/>
        <w:rPr>
          <w:rFonts w:ascii="Garamond" w:hAnsi="Garamond"/>
          <w:sz w:val="24"/>
          <w:szCs w:val="24"/>
        </w:rPr>
      </w:pPr>
      <w:r w:rsidRPr="00E809DB">
        <w:rPr>
          <w:rFonts w:ascii="Garamond" w:hAnsi="Garamond"/>
          <w:sz w:val="24"/>
          <w:szCs w:val="24"/>
        </w:rPr>
        <w:t>Based on the data above, it is illustrated that 12 people are in the very high category, 65 people are in the high category, 14 people are in the moderate category and 4 people are in a low category.</w:t>
      </w:r>
    </w:p>
    <w:p w:rsidR="006D47AA" w:rsidRPr="00E809DB" w:rsidRDefault="006D47AA" w:rsidP="00E809DB">
      <w:pPr>
        <w:pStyle w:val="BodyText"/>
        <w:spacing w:line="276" w:lineRule="auto"/>
        <w:rPr>
          <w:rFonts w:ascii="Garamond" w:hAnsi="Garamond"/>
          <w:sz w:val="24"/>
          <w:szCs w:val="24"/>
        </w:rPr>
      </w:pPr>
    </w:p>
    <w:p w:rsidR="006D47AA" w:rsidRPr="00E809DB" w:rsidRDefault="006D47AA" w:rsidP="006D47AA">
      <w:pPr>
        <w:pStyle w:val="BodyText"/>
        <w:spacing w:line="276" w:lineRule="auto"/>
        <w:rPr>
          <w:rFonts w:ascii="Garamond" w:hAnsi="Garamond"/>
          <w:b/>
          <w:sz w:val="24"/>
          <w:szCs w:val="24"/>
        </w:rPr>
      </w:pPr>
      <w:r w:rsidRPr="00E809DB">
        <w:rPr>
          <w:rFonts w:ascii="Garamond" w:hAnsi="Garamond"/>
          <w:b/>
          <w:sz w:val="24"/>
          <w:szCs w:val="24"/>
        </w:rPr>
        <w:t>Discussion</w:t>
      </w:r>
    </w:p>
    <w:p w:rsidR="00572E01" w:rsidRPr="00E809DB" w:rsidRDefault="006D47AA" w:rsidP="00E809DB">
      <w:pPr>
        <w:pStyle w:val="BodyText"/>
        <w:spacing w:line="276" w:lineRule="auto"/>
        <w:ind w:firstLine="720"/>
        <w:rPr>
          <w:rFonts w:ascii="Garamond" w:hAnsi="Garamond"/>
          <w:sz w:val="24"/>
          <w:szCs w:val="24"/>
        </w:rPr>
      </w:pPr>
      <w:r w:rsidRPr="00E809DB">
        <w:rPr>
          <w:rFonts w:ascii="Garamond" w:hAnsi="Garamond"/>
          <w:sz w:val="24"/>
          <w:szCs w:val="24"/>
        </w:rPr>
        <w:t xml:space="preserve">Instrumental Support social support in the form </w:t>
      </w:r>
      <w:proofErr w:type="gramStart"/>
      <w:r w:rsidRPr="00E809DB">
        <w:rPr>
          <w:rFonts w:ascii="Garamond" w:hAnsi="Garamond"/>
          <w:sz w:val="24"/>
          <w:szCs w:val="24"/>
        </w:rPr>
        <w:t>of .</w:t>
      </w:r>
      <w:proofErr w:type="gramEnd"/>
      <w:r w:rsidRPr="00E809DB">
        <w:rPr>
          <w:rFonts w:ascii="Garamond" w:hAnsi="Garamond"/>
          <w:sz w:val="24"/>
          <w:szCs w:val="24"/>
        </w:rPr>
        <w:t xml:space="preserve"> Reliable </w:t>
      </w:r>
      <w:proofErr w:type="gramStart"/>
      <w:r w:rsidRPr="00E809DB">
        <w:rPr>
          <w:rFonts w:ascii="Garamond" w:hAnsi="Garamond"/>
          <w:sz w:val="24"/>
          <w:szCs w:val="24"/>
        </w:rPr>
        <w:t>alliance,</w:t>
      </w:r>
      <w:proofErr w:type="gramEnd"/>
      <w:r w:rsidRPr="00E809DB">
        <w:rPr>
          <w:rFonts w:ascii="Garamond" w:hAnsi="Garamond"/>
          <w:sz w:val="24"/>
          <w:szCs w:val="24"/>
        </w:rPr>
        <w:t xml:space="preserve"> is the knowledge that the individual has that he can rely on real help when needed. Individuals who receive this assistance will feel calm because they realize that there are people who can be relied on to help them when they face problems and difficulties. 2. Guidance is social support in the form of advice and information from reliable sources. This support can also be in the form of giving feedback on something that has been done by </w:t>
      </w:r>
      <w:proofErr w:type="gramStart"/>
      <w:r w:rsidRPr="00E809DB">
        <w:rPr>
          <w:rFonts w:ascii="Garamond" w:hAnsi="Garamond"/>
          <w:sz w:val="24"/>
          <w:szCs w:val="24"/>
        </w:rPr>
        <w:t xml:space="preserve">individuals </w:t>
      </w:r>
      <w:proofErr w:type="gramEnd"/>
      <w:r w:rsidR="00572E01" w:rsidRPr="00E809DB">
        <w:rPr>
          <w:rStyle w:val="FootnoteReference"/>
          <w:rFonts w:ascii="Garamond" w:hAnsi="Garamond"/>
          <w:sz w:val="24"/>
          <w:szCs w:val="24"/>
        </w:rPr>
        <w:footnoteReference w:id="9"/>
      </w:r>
      <w:r w:rsidR="00572E01" w:rsidRPr="00E809DB">
        <w:rPr>
          <w:rFonts w:ascii="Garamond" w:hAnsi="Garamond"/>
          <w:sz w:val="24"/>
          <w:szCs w:val="24"/>
        </w:rPr>
        <w:t>.</w:t>
      </w:r>
      <w:r w:rsidR="00E809DB">
        <w:rPr>
          <w:rFonts w:ascii="Garamond" w:hAnsi="Garamond"/>
          <w:sz w:val="24"/>
          <w:szCs w:val="24"/>
        </w:rPr>
        <w:t xml:space="preserve"> </w:t>
      </w:r>
      <w:proofErr w:type="gramStart"/>
      <w:r w:rsidR="00572E01" w:rsidRPr="00E809DB">
        <w:rPr>
          <w:rFonts w:ascii="Garamond" w:hAnsi="Garamond"/>
          <w:sz w:val="24"/>
          <w:szCs w:val="24"/>
        </w:rPr>
        <w:t>Emotional Support 1.</w:t>
      </w:r>
      <w:proofErr w:type="gramEnd"/>
      <w:r w:rsidR="00572E01" w:rsidRPr="00E809DB">
        <w:rPr>
          <w:rFonts w:ascii="Garamond" w:hAnsi="Garamond"/>
          <w:sz w:val="24"/>
          <w:szCs w:val="24"/>
        </w:rPr>
        <w:t xml:space="preserve"> Reassurance of worth; This social support takes the form of recognition or appreciation of individual abilities and </w:t>
      </w:r>
      <w:proofErr w:type="gramStart"/>
      <w:r w:rsidR="00572E01" w:rsidRPr="00E809DB">
        <w:rPr>
          <w:rFonts w:ascii="Garamond" w:hAnsi="Garamond"/>
          <w:sz w:val="24"/>
          <w:szCs w:val="24"/>
        </w:rPr>
        <w:t xml:space="preserve">qualities </w:t>
      </w:r>
      <w:proofErr w:type="gramEnd"/>
      <w:r w:rsidRPr="00E809DB">
        <w:rPr>
          <w:rStyle w:val="FootnoteReference"/>
          <w:rFonts w:ascii="Garamond" w:hAnsi="Garamond"/>
          <w:sz w:val="24"/>
          <w:szCs w:val="24"/>
        </w:rPr>
        <w:footnoteReference w:id="10"/>
      </w:r>
      <w:r w:rsidRPr="00E809DB">
        <w:rPr>
          <w:rFonts w:ascii="Garamond" w:hAnsi="Garamond"/>
          <w:sz w:val="24"/>
          <w:szCs w:val="24"/>
        </w:rPr>
        <w:t xml:space="preserve">. </w:t>
      </w:r>
      <w:r w:rsidR="00572E01" w:rsidRPr="00E809DB">
        <w:rPr>
          <w:rFonts w:ascii="Garamond" w:hAnsi="Garamond"/>
          <w:sz w:val="24"/>
          <w:szCs w:val="24"/>
        </w:rPr>
        <w:t xml:space="preserve">This support will make the individual feel accepted and valued. An example of this support would be giving praise to individuals for doing something well. 2. Attachments; This support is an expression of affection and love received by </w:t>
      </w:r>
      <w:proofErr w:type="gramStart"/>
      <w:r w:rsidR="00572E01" w:rsidRPr="00E809DB">
        <w:rPr>
          <w:rFonts w:ascii="Garamond" w:hAnsi="Garamond"/>
          <w:sz w:val="24"/>
          <w:szCs w:val="24"/>
        </w:rPr>
        <w:t xml:space="preserve">individuals  </w:t>
      </w:r>
      <w:proofErr w:type="gramEnd"/>
      <w:r w:rsidRPr="00E809DB">
        <w:rPr>
          <w:rStyle w:val="FootnoteReference"/>
          <w:rFonts w:ascii="Garamond" w:hAnsi="Garamond"/>
          <w:sz w:val="24"/>
          <w:szCs w:val="24"/>
        </w:rPr>
        <w:footnoteReference w:id="11"/>
      </w:r>
      <w:r w:rsidR="00572E01" w:rsidRPr="00E809DB">
        <w:rPr>
          <w:rFonts w:ascii="Garamond" w:hAnsi="Garamond"/>
          <w:sz w:val="24"/>
          <w:szCs w:val="24"/>
        </w:rPr>
        <w:t xml:space="preserve">. </w:t>
      </w:r>
      <w:proofErr w:type="gramStart"/>
      <w:r w:rsidR="00E809DB">
        <w:rPr>
          <w:rFonts w:ascii="Garamond" w:hAnsi="Garamond"/>
          <w:sz w:val="24"/>
          <w:szCs w:val="24"/>
        </w:rPr>
        <w:t>W</w:t>
      </w:r>
      <w:r w:rsidR="00572E01" w:rsidRPr="00E809DB">
        <w:rPr>
          <w:rFonts w:ascii="Garamond" w:hAnsi="Garamond"/>
          <w:sz w:val="24"/>
          <w:szCs w:val="24"/>
        </w:rPr>
        <w:t>hich can provide a sense of security to individuals who receive it.</w:t>
      </w:r>
      <w:proofErr w:type="gramEnd"/>
      <w:r w:rsidR="00572E01" w:rsidRPr="00E809DB">
        <w:rPr>
          <w:rFonts w:ascii="Garamond" w:hAnsi="Garamond"/>
          <w:sz w:val="24"/>
          <w:szCs w:val="24"/>
        </w:rPr>
        <w:t xml:space="preserve"> Proximity and intimacy are a form of this support because closeness and intimacy can provide a sense of security. 3. Social Integration; </w:t>
      </w:r>
      <w:proofErr w:type="spellStart"/>
      <w:r w:rsidR="00572E01" w:rsidRPr="00E809DB">
        <w:rPr>
          <w:rFonts w:ascii="Garamond" w:hAnsi="Garamond"/>
          <w:sz w:val="24"/>
          <w:szCs w:val="24"/>
        </w:rPr>
        <w:t>Cutrona</w:t>
      </w:r>
      <w:proofErr w:type="spellEnd"/>
      <w:r w:rsidR="00572E01" w:rsidRPr="00E809DB">
        <w:rPr>
          <w:rFonts w:ascii="Garamond" w:hAnsi="Garamond"/>
          <w:sz w:val="24"/>
          <w:szCs w:val="24"/>
        </w:rPr>
        <w:t xml:space="preserve">, et al. (1994) said that this support is in the form of similar interests and concerns </w:t>
      </w:r>
      <w:r w:rsidR="00572E01" w:rsidRPr="00E809DB">
        <w:rPr>
          <w:rFonts w:ascii="Garamond" w:hAnsi="Garamond"/>
          <w:sz w:val="24"/>
          <w:szCs w:val="24"/>
        </w:rPr>
        <w:lastRenderedPageBreak/>
        <w:t xml:space="preserve">and a sense of belonging in a group. 4. Opportunity to provide nurturing; </w:t>
      </w:r>
      <w:proofErr w:type="gramStart"/>
      <w:r w:rsidR="00572E01" w:rsidRPr="00E809DB">
        <w:rPr>
          <w:rFonts w:ascii="Garamond" w:hAnsi="Garamond"/>
          <w:sz w:val="24"/>
          <w:szCs w:val="24"/>
        </w:rPr>
        <w:t>This</w:t>
      </w:r>
      <w:proofErr w:type="gramEnd"/>
      <w:r w:rsidR="00572E01" w:rsidRPr="00E809DB">
        <w:rPr>
          <w:rFonts w:ascii="Garamond" w:hAnsi="Garamond"/>
          <w:sz w:val="24"/>
          <w:szCs w:val="24"/>
        </w:rPr>
        <w:t xml:space="preserve"> support is in the form of an individual's feeling that he is needed by others</w:t>
      </w:r>
    </w:p>
    <w:p w:rsidR="00572E01" w:rsidRPr="00E809DB" w:rsidRDefault="00572E01" w:rsidP="006D47AA">
      <w:pPr>
        <w:pStyle w:val="BodyText"/>
        <w:spacing w:line="276" w:lineRule="auto"/>
        <w:rPr>
          <w:rFonts w:ascii="Garamond" w:hAnsi="Garamond"/>
          <w:sz w:val="24"/>
          <w:szCs w:val="24"/>
        </w:rPr>
      </w:pPr>
    </w:p>
    <w:p w:rsidR="00F07AD3" w:rsidRPr="00E809DB" w:rsidRDefault="00572E01" w:rsidP="00E809DB">
      <w:pPr>
        <w:ind w:firstLine="720"/>
        <w:jc w:val="both"/>
        <w:rPr>
          <w:rFonts w:ascii="Garamond" w:hAnsi="Garamond"/>
          <w:sz w:val="24"/>
          <w:szCs w:val="24"/>
        </w:rPr>
      </w:pPr>
      <w:r w:rsidRPr="00E809DB">
        <w:rPr>
          <w:rFonts w:ascii="Garamond" w:hAnsi="Garamond"/>
          <w:sz w:val="24"/>
          <w:szCs w:val="24"/>
        </w:rPr>
        <w:t xml:space="preserve">Sources of social support Gottlieb (1983) states that there are two kinds of social support relationships, namely first, professional relationships that come from people who are experts in their fields, such as counselors, psychiatrists, psychologists, doctors, and lawyers, and second, non-professional relationships, namely sourced from the closest people such as friends, family. </w:t>
      </w:r>
      <w:proofErr w:type="gramStart"/>
      <w:r w:rsidRPr="00E809DB">
        <w:rPr>
          <w:rFonts w:ascii="Garamond" w:hAnsi="Garamond"/>
          <w:sz w:val="24"/>
          <w:szCs w:val="24"/>
        </w:rPr>
        <w:t xml:space="preserve">Factors forming social support Myers </w:t>
      </w:r>
      <w:r w:rsidR="006D47AA" w:rsidRPr="00E809DB">
        <w:rPr>
          <w:rStyle w:val="FootnoteReference"/>
          <w:rFonts w:ascii="Garamond" w:hAnsi="Garamond"/>
          <w:sz w:val="24"/>
          <w:szCs w:val="24"/>
        </w:rPr>
        <w:footnoteReference w:id="12"/>
      </w:r>
      <w:r w:rsidR="00F07AD3" w:rsidRPr="00E809DB">
        <w:rPr>
          <w:rFonts w:ascii="Garamond" w:hAnsi="Garamond"/>
          <w:sz w:val="24"/>
          <w:szCs w:val="24"/>
        </w:rPr>
        <w:t xml:space="preserve"> suggests</w:t>
      </w:r>
      <w:proofErr w:type="gramEnd"/>
      <w:r w:rsidR="00F07AD3" w:rsidRPr="00E809DB">
        <w:rPr>
          <w:rFonts w:ascii="Garamond" w:hAnsi="Garamond"/>
          <w:sz w:val="24"/>
          <w:szCs w:val="24"/>
        </w:rPr>
        <w:t xml:space="preserve"> that there are at least three important factors that encourage someone to provide positive support, including a. Empathy, namely sharing in other people's distress to anticipate emotions and behavioral motivations to reduce distress and increase the welfare of others.</w:t>
      </w:r>
    </w:p>
    <w:p w:rsidR="006D47AA" w:rsidRPr="00E809DB" w:rsidRDefault="006D47AA" w:rsidP="00572E01">
      <w:pPr>
        <w:rPr>
          <w:rFonts w:ascii="Garamond" w:hAnsi="Garamond"/>
          <w:sz w:val="24"/>
          <w:szCs w:val="24"/>
        </w:rPr>
      </w:pPr>
      <w:r w:rsidRPr="00E809DB">
        <w:rPr>
          <w:rFonts w:ascii="Garamond" w:hAnsi="Garamond"/>
          <w:sz w:val="24"/>
          <w:szCs w:val="24"/>
        </w:rPr>
        <w:t>.</w:t>
      </w:r>
    </w:p>
    <w:p w:rsidR="00F07AD3" w:rsidRPr="00E809DB" w:rsidRDefault="00F07AD3" w:rsidP="00E809DB">
      <w:pPr>
        <w:pStyle w:val="BodyText"/>
        <w:spacing w:line="276" w:lineRule="auto"/>
        <w:ind w:firstLine="720"/>
        <w:rPr>
          <w:rFonts w:ascii="Garamond" w:hAnsi="Garamond"/>
          <w:sz w:val="24"/>
          <w:szCs w:val="24"/>
        </w:rPr>
      </w:pPr>
      <w:r w:rsidRPr="00E809DB">
        <w:rPr>
          <w:rFonts w:ascii="Garamond" w:hAnsi="Garamond"/>
          <w:sz w:val="24"/>
          <w:szCs w:val="24"/>
        </w:rPr>
        <w:t>Social support is in the form of recognition or appreciation of abilities and qualities so that students feel a sense of worth (reassurance of worth) from parents showing support</w:t>
      </w:r>
      <w:r w:rsidR="006D47AA" w:rsidRPr="00E809DB">
        <w:rPr>
          <w:rFonts w:ascii="Garamond" w:hAnsi="Garamond"/>
          <w:sz w:val="24"/>
          <w:szCs w:val="24"/>
        </w:rPr>
        <w:t>.</w:t>
      </w:r>
      <w:r w:rsidR="00E809DB">
        <w:rPr>
          <w:rFonts w:ascii="Garamond" w:hAnsi="Garamond"/>
          <w:sz w:val="24"/>
          <w:szCs w:val="24"/>
        </w:rPr>
        <w:t xml:space="preserve"> S</w:t>
      </w:r>
      <w:r w:rsidRPr="00E809DB">
        <w:rPr>
          <w:rFonts w:ascii="Garamond" w:hAnsi="Garamond"/>
          <w:sz w:val="24"/>
          <w:szCs w:val="24"/>
        </w:rPr>
        <w:t>ocial support that touches on emotional needs, especially recognition of abilities and qualities so that students feel that they receive respect and parental love has great meaning for students. This shows the importance of meeting students' needs for attention and affection from parents who can bring positive energy to students. Even though they both include social support in the form of emotional support, the support component in the form of a sense of being needed by parents shows the smallest social support perceived by students. It seems that this condition is inseparable from the developmental age of students who are still in the transition phase between letting go of childhood and entering the teenage phase.</w:t>
      </w:r>
    </w:p>
    <w:p w:rsidR="006D47AA" w:rsidRPr="00E809DB" w:rsidRDefault="006D47AA" w:rsidP="006D47AA">
      <w:pPr>
        <w:pStyle w:val="BodyText"/>
        <w:spacing w:line="276" w:lineRule="auto"/>
        <w:rPr>
          <w:rFonts w:ascii="Garamond" w:hAnsi="Garamond"/>
          <w:sz w:val="24"/>
          <w:szCs w:val="24"/>
        </w:rPr>
      </w:pPr>
      <w:r w:rsidRPr="00E809DB">
        <w:rPr>
          <w:rFonts w:ascii="Garamond" w:hAnsi="Garamond" w:cs="Arial"/>
          <w:sz w:val="24"/>
          <w:szCs w:val="24"/>
          <w:shd w:val="clear" w:color="auto" w:fill="FFFFFF"/>
        </w:rPr>
        <w:lastRenderedPageBreak/>
        <w:t xml:space="preserve">According to </w:t>
      </w:r>
      <w:proofErr w:type="spellStart"/>
      <w:proofErr w:type="gramStart"/>
      <w:r w:rsidRPr="00E809DB">
        <w:rPr>
          <w:rFonts w:ascii="Garamond" w:hAnsi="Garamond" w:cs="Arial"/>
          <w:sz w:val="24"/>
          <w:szCs w:val="24"/>
          <w:shd w:val="clear" w:color="auto" w:fill="FFFFFF"/>
        </w:rPr>
        <w:t>Sarason</w:t>
      </w:r>
      <w:proofErr w:type="spellEnd"/>
      <w:r w:rsidRPr="00E809DB">
        <w:rPr>
          <w:rFonts w:ascii="Garamond" w:hAnsi="Garamond" w:cs="Arial"/>
          <w:sz w:val="24"/>
          <w:szCs w:val="24"/>
          <w:shd w:val="clear" w:color="auto" w:fill="FFFFFF"/>
        </w:rPr>
        <w:t xml:space="preserve"> </w:t>
      </w:r>
      <w:proofErr w:type="gramEnd"/>
      <w:r w:rsidRPr="00E809DB">
        <w:rPr>
          <w:rStyle w:val="FootnoteReference"/>
          <w:rFonts w:ascii="Garamond" w:hAnsi="Garamond"/>
          <w:sz w:val="24"/>
          <w:szCs w:val="24"/>
          <w:shd w:val="clear" w:color="auto" w:fill="FFFFFF"/>
        </w:rPr>
        <w:footnoteReference w:id="13"/>
      </w:r>
      <w:r w:rsidRPr="00E809DB">
        <w:rPr>
          <w:rFonts w:ascii="Garamond" w:hAnsi="Garamond" w:cs="Arial"/>
          <w:sz w:val="24"/>
          <w:szCs w:val="24"/>
          <w:shd w:val="clear" w:color="auto" w:fill="FFFFFF"/>
        </w:rPr>
        <w:t>, social support is physical and psychological comfort provided by other people. Social support felt by individuals can be received from various parties, which are given both consciously and unconsciously by the support provider. Social support refers to the comfort, care, appreciation, or assistance that individuals feel received from other people or groups.</w:t>
      </w:r>
      <w:r w:rsidRPr="00E809DB">
        <w:rPr>
          <w:rStyle w:val="FootnoteReference"/>
          <w:rFonts w:ascii="Garamond" w:hAnsi="Garamond"/>
          <w:sz w:val="24"/>
          <w:szCs w:val="24"/>
          <w:shd w:val="clear" w:color="auto" w:fill="FFFFFF"/>
        </w:rPr>
        <w:footnoteReference w:id="14"/>
      </w:r>
      <w:r w:rsidRPr="00E809DB">
        <w:rPr>
          <w:rFonts w:ascii="Garamond" w:hAnsi="Garamond" w:cs="Arial"/>
          <w:sz w:val="24"/>
          <w:szCs w:val="24"/>
          <w:shd w:val="clear" w:color="auto" w:fill="FFFFFF"/>
        </w:rPr>
        <w:t xml:space="preserve"> </w:t>
      </w:r>
    </w:p>
    <w:p w:rsidR="00E809DB" w:rsidRDefault="00E809DB" w:rsidP="006D47AA">
      <w:pPr>
        <w:pStyle w:val="BodyText"/>
        <w:spacing w:line="276" w:lineRule="auto"/>
        <w:rPr>
          <w:rFonts w:ascii="Garamond" w:hAnsi="Garamond"/>
          <w:sz w:val="24"/>
          <w:szCs w:val="24"/>
        </w:rPr>
      </w:pPr>
    </w:p>
    <w:p w:rsidR="006D47AA" w:rsidRPr="00E809DB" w:rsidRDefault="006D47AA" w:rsidP="006D47AA">
      <w:pPr>
        <w:pStyle w:val="BodyText"/>
        <w:spacing w:line="276" w:lineRule="auto"/>
        <w:rPr>
          <w:rFonts w:ascii="Garamond" w:hAnsi="Garamond"/>
          <w:b/>
          <w:sz w:val="24"/>
          <w:szCs w:val="24"/>
        </w:rPr>
      </w:pPr>
      <w:r w:rsidRPr="00E809DB">
        <w:rPr>
          <w:rFonts w:ascii="Garamond" w:hAnsi="Garamond"/>
          <w:b/>
          <w:sz w:val="24"/>
          <w:szCs w:val="24"/>
        </w:rPr>
        <w:t>Reference</w:t>
      </w:r>
    </w:p>
    <w:p w:rsidR="00572E01" w:rsidRPr="00E809DB" w:rsidRDefault="006D47AA"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b/>
          <w:sz w:val="24"/>
          <w:szCs w:val="24"/>
        </w:rPr>
        <w:fldChar w:fldCharType="begin" w:fldLock="1"/>
      </w:r>
      <w:r w:rsidRPr="00E809DB">
        <w:rPr>
          <w:rFonts w:ascii="Garamond" w:hAnsi="Garamond"/>
          <w:b/>
          <w:sz w:val="24"/>
          <w:szCs w:val="24"/>
        </w:rPr>
        <w:instrText xml:space="preserve">ADDIN Mendeley Bibliography CSL_BIBLIOGRAPHY </w:instrText>
      </w:r>
      <w:r w:rsidRPr="00E809DB">
        <w:rPr>
          <w:rFonts w:ascii="Garamond" w:hAnsi="Garamond"/>
          <w:b/>
          <w:sz w:val="24"/>
          <w:szCs w:val="24"/>
        </w:rPr>
        <w:fldChar w:fldCharType="separate"/>
      </w:r>
      <w:r w:rsidR="00572E01" w:rsidRPr="00E809DB">
        <w:rPr>
          <w:rFonts w:ascii="Garamond" w:hAnsi="Garamond"/>
          <w:noProof/>
          <w:sz w:val="24"/>
          <w:szCs w:val="24"/>
        </w:rPr>
        <w:t xml:space="preserve">Alfi Rahmi, Januar. </w:t>
      </w:r>
      <w:r w:rsidR="00572E01" w:rsidRPr="00E809DB">
        <w:rPr>
          <w:rFonts w:ascii="Garamond" w:hAnsi="Garamond"/>
          <w:i/>
          <w:iCs/>
          <w:noProof/>
          <w:sz w:val="24"/>
          <w:szCs w:val="24"/>
        </w:rPr>
        <w:t>KESIAPAN MEMASUKI DUNIA KERJA PADA MAHASISWA PERGURUAN TINGGI</w:t>
      </w:r>
      <w:r w:rsidR="00572E01" w:rsidRPr="00E809DB">
        <w:rPr>
          <w:rFonts w:ascii="Garamond" w:hAnsi="Garamond"/>
          <w:noProof/>
          <w:sz w:val="24"/>
          <w:szCs w:val="24"/>
        </w:rPr>
        <w:t>. Edited by Hidayani Syam Alfi Rahmi and Nory Natalia. Ahmad Masrur Firosad. 1st ed. Bandung: CV.WIDINA MEDIA UTAMA, 2022.</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Baron, Robert A., &amp; Byrne, Donn. </w:t>
      </w:r>
      <w:r w:rsidRPr="00E809DB">
        <w:rPr>
          <w:rFonts w:ascii="Garamond" w:hAnsi="Garamond"/>
          <w:i/>
          <w:iCs/>
          <w:noProof/>
          <w:sz w:val="24"/>
          <w:szCs w:val="24"/>
        </w:rPr>
        <w:t>Psikologi Sosial</w:t>
      </w:r>
      <w:r w:rsidRPr="00E809DB">
        <w:rPr>
          <w:rFonts w:ascii="Garamond" w:hAnsi="Garamond"/>
          <w:noProof/>
          <w:sz w:val="24"/>
          <w:szCs w:val="24"/>
        </w:rPr>
        <w:t>. Jakarta: Erlangga, 2005.</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Cutrona, C.E, et al. “Peceived Parental Social Support and Academic Achievement: An Attachment Theory Perspective.” </w:t>
      </w:r>
      <w:r w:rsidRPr="00E809DB">
        <w:rPr>
          <w:rFonts w:ascii="Garamond" w:hAnsi="Garamond"/>
          <w:i/>
          <w:iCs/>
          <w:noProof/>
          <w:sz w:val="24"/>
          <w:szCs w:val="24"/>
        </w:rPr>
        <w:t>Journal of Personality and Social Psychology</w:t>
      </w:r>
      <w:r w:rsidRPr="00E809DB">
        <w:rPr>
          <w:rFonts w:ascii="Garamond" w:hAnsi="Garamond"/>
          <w:noProof/>
          <w:sz w:val="24"/>
          <w:szCs w:val="24"/>
        </w:rPr>
        <w:t xml:space="preserve"> 2 (66AD).</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Ebenehi, Amos Shaibu, Abdullah Mat Rashid, and Ab Rahim Bakar. “Predictors of Career Adaptability Skill among Higher Education Students in Nigeria.” </w:t>
      </w:r>
      <w:r w:rsidRPr="00E809DB">
        <w:rPr>
          <w:rFonts w:ascii="Garamond" w:hAnsi="Garamond"/>
          <w:i/>
          <w:iCs/>
          <w:noProof/>
          <w:sz w:val="24"/>
          <w:szCs w:val="24"/>
        </w:rPr>
        <w:t>International Journal for Research in Vocational Education and Training</w:t>
      </w:r>
      <w:r w:rsidRPr="00E809DB">
        <w:rPr>
          <w:rFonts w:ascii="Garamond" w:hAnsi="Garamond"/>
          <w:noProof/>
          <w:sz w:val="24"/>
          <w:szCs w:val="24"/>
        </w:rPr>
        <w:t xml:space="preserve"> 3, no. 3 (2016): 212–229.</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Hirschi, Andreas. “Swiss Adolescents’ Career Aspirations: Influence of Context, Age, and Career Adaptability.” </w:t>
      </w:r>
      <w:r w:rsidRPr="00E809DB">
        <w:rPr>
          <w:rFonts w:ascii="Garamond" w:hAnsi="Garamond"/>
          <w:i/>
          <w:iCs/>
          <w:noProof/>
          <w:sz w:val="24"/>
          <w:szCs w:val="24"/>
        </w:rPr>
        <w:t>Journal of Career Development</w:t>
      </w:r>
      <w:r w:rsidRPr="00E809DB">
        <w:rPr>
          <w:rFonts w:ascii="Garamond" w:hAnsi="Garamond"/>
          <w:noProof/>
          <w:sz w:val="24"/>
          <w:szCs w:val="24"/>
        </w:rPr>
        <w:t>. SAGE Publications, 2009. http://dx.doi.org/10.1177/0894845309345844.</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Hobfoll, S.E. </w:t>
      </w:r>
      <w:r w:rsidRPr="00E809DB">
        <w:rPr>
          <w:rFonts w:ascii="Garamond" w:hAnsi="Garamond"/>
          <w:i/>
          <w:iCs/>
          <w:noProof/>
          <w:sz w:val="24"/>
          <w:szCs w:val="24"/>
        </w:rPr>
        <w:t>Stress, Social Support and Women: The Series in Clinical and Community Psychology</w:t>
      </w:r>
      <w:r w:rsidRPr="00E809DB">
        <w:rPr>
          <w:rFonts w:ascii="Garamond" w:hAnsi="Garamond"/>
          <w:noProof/>
          <w:sz w:val="24"/>
          <w:szCs w:val="24"/>
        </w:rPr>
        <w:t>. New York: Herpe &amp; Row, 1986.</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Koen, Jessie, Ute Christine Klehe, and Annelies E.M. Van Vianen. “Training Career Adaptability to Facilitate a Successful School-to-Work Transition.” </w:t>
      </w:r>
      <w:r w:rsidRPr="00E809DB">
        <w:rPr>
          <w:rFonts w:ascii="Garamond" w:hAnsi="Garamond"/>
          <w:i/>
          <w:iCs/>
          <w:noProof/>
          <w:sz w:val="24"/>
          <w:szCs w:val="24"/>
        </w:rPr>
        <w:t>Journal of Vocational Behavior</w:t>
      </w:r>
      <w:r w:rsidRPr="00E809DB">
        <w:rPr>
          <w:rFonts w:ascii="Garamond" w:hAnsi="Garamond"/>
          <w:noProof/>
          <w:sz w:val="24"/>
          <w:szCs w:val="24"/>
        </w:rPr>
        <w:t xml:space="preserve"> 81, no. 3 </w:t>
      </w:r>
      <w:r w:rsidRPr="00E809DB">
        <w:rPr>
          <w:rFonts w:ascii="Garamond" w:hAnsi="Garamond"/>
          <w:noProof/>
          <w:sz w:val="24"/>
          <w:szCs w:val="24"/>
        </w:rPr>
        <w:lastRenderedPageBreak/>
        <w:t>(2012): 395–408. http://dx.doi.org/10.1016/j.jvb.2012.10.003.</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Sarafino, E., P. </w:t>
      </w:r>
      <w:r w:rsidRPr="00E809DB">
        <w:rPr>
          <w:rFonts w:ascii="Garamond" w:hAnsi="Garamond"/>
          <w:i/>
          <w:iCs/>
          <w:noProof/>
          <w:sz w:val="24"/>
          <w:szCs w:val="24"/>
        </w:rPr>
        <w:t>Health Psychology: Biopsychosocial Interaction</w:t>
      </w:r>
      <w:r w:rsidRPr="00E809DB">
        <w:rPr>
          <w:rFonts w:ascii="Garamond" w:hAnsi="Garamond"/>
          <w:noProof/>
          <w:sz w:val="24"/>
          <w:szCs w:val="24"/>
        </w:rPr>
        <w:t>. New York: John Wiley &amp; Sons, Inc., 2011.</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Savickas, Mark L., and Erik J. Porfeli. “Career Adapt-Abilities Scale: Construction, Reliability, and Measurement Equivalence across 13 Countries.” </w:t>
      </w:r>
      <w:r w:rsidRPr="00E809DB">
        <w:rPr>
          <w:rFonts w:ascii="Garamond" w:hAnsi="Garamond"/>
          <w:i/>
          <w:iCs/>
          <w:noProof/>
          <w:sz w:val="24"/>
          <w:szCs w:val="24"/>
        </w:rPr>
        <w:t>Journal of Vocational Behavior</w:t>
      </w:r>
      <w:r w:rsidRPr="00E809DB">
        <w:rPr>
          <w:rFonts w:ascii="Garamond" w:hAnsi="Garamond"/>
          <w:noProof/>
          <w:sz w:val="24"/>
          <w:szCs w:val="24"/>
        </w:rPr>
        <w:t xml:space="preserve"> 80, no. 3 (2012): 661–673. http://dx.doi.org/10.1016/j.jvb.2012.01.011.</w:t>
      </w:r>
    </w:p>
    <w:p w:rsidR="00572E01" w:rsidRPr="00E809DB" w:rsidRDefault="00572E01" w:rsidP="00E809DB">
      <w:pPr>
        <w:widowControl w:val="0"/>
        <w:autoSpaceDE w:val="0"/>
        <w:autoSpaceDN w:val="0"/>
        <w:adjustRightInd w:val="0"/>
        <w:ind w:left="480" w:hanging="480"/>
        <w:jc w:val="both"/>
        <w:rPr>
          <w:rFonts w:ascii="Garamond" w:hAnsi="Garamond"/>
          <w:noProof/>
          <w:sz w:val="24"/>
          <w:szCs w:val="24"/>
        </w:rPr>
      </w:pPr>
      <w:r w:rsidRPr="00E809DB">
        <w:rPr>
          <w:rFonts w:ascii="Garamond" w:hAnsi="Garamond"/>
          <w:noProof/>
          <w:sz w:val="24"/>
          <w:szCs w:val="24"/>
        </w:rPr>
        <w:t xml:space="preserve">Wang, Zhongming, and Ying Fu. “Social Support, Social Comparison, and Career Adaptability: A Moderated Mediation Model.” </w:t>
      </w:r>
      <w:r w:rsidRPr="00E809DB">
        <w:rPr>
          <w:rFonts w:ascii="Garamond" w:hAnsi="Garamond"/>
          <w:i/>
          <w:iCs/>
          <w:noProof/>
          <w:sz w:val="24"/>
          <w:szCs w:val="24"/>
        </w:rPr>
        <w:t>Social Behavior and Personality</w:t>
      </w:r>
      <w:r w:rsidRPr="00E809DB">
        <w:rPr>
          <w:rFonts w:ascii="Garamond" w:hAnsi="Garamond"/>
          <w:noProof/>
          <w:sz w:val="24"/>
          <w:szCs w:val="24"/>
        </w:rPr>
        <w:t xml:space="preserve"> 43, no. 4 (2015): 649–660.</w:t>
      </w:r>
    </w:p>
    <w:p w:rsidR="006D47AA" w:rsidRPr="00E809DB" w:rsidRDefault="006D47AA" w:rsidP="00E809DB">
      <w:pPr>
        <w:widowControl w:val="0"/>
        <w:autoSpaceDE w:val="0"/>
        <w:autoSpaceDN w:val="0"/>
        <w:adjustRightInd w:val="0"/>
        <w:ind w:left="480" w:hanging="480"/>
        <w:jc w:val="both"/>
        <w:rPr>
          <w:rFonts w:ascii="Garamond" w:hAnsi="Garamond"/>
          <w:sz w:val="24"/>
          <w:szCs w:val="24"/>
        </w:rPr>
      </w:pPr>
      <w:r w:rsidRPr="00E809DB">
        <w:rPr>
          <w:rFonts w:ascii="Garamond" w:hAnsi="Garamond"/>
          <w:b/>
          <w:sz w:val="24"/>
          <w:szCs w:val="24"/>
        </w:rPr>
        <w:fldChar w:fldCharType="end"/>
      </w:r>
    </w:p>
    <w:p w:rsidR="00C15EF4" w:rsidRPr="00E809DB" w:rsidRDefault="00C15EF4" w:rsidP="00E809DB">
      <w:pPr>
        <w:jc w:val="both"/>
        <w:rPr>
          <w:rFonts w:ascii="Garamond" w:hAnsi="Garamond"/>
          <w:sz w:val="24"/>
          <w:szCs w:val="24"/>
        </w:rPr>
      </w:pPr>
    </w:p>
    <w:sectPr w:rsidR="00C15EF4" w:rsidRPr="00E809DB"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84C" w:rsidRDefault="0005084C" w:rsidP="006D47AA">
      <w:r>
        <w:separator/>
      </w:r>
    </w:p>
  </w:endnote>
  <w:endnote w:type="continuationSeparator" w:id="0">
    <w:p w:rsidR="0005084C" w:rsidRDefault="0005084C" w:rsidP="006D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AA" w:rsidRDefault="006D47AA" w:rsidP="004E0181">
    <w:pPr>
      <w:autoSpaceDE w:val="0"/>
      <w:autoSpaceDN w:val="0"/>
      <w:adjustRightInd w:val="0"/>
      <w:jc w:val="both"/>
      <w:rPr>
        <w:rFonts w:ascii="Book Antiqua" w:hAnsi="Book Antiqua"/>
        <w:i/>
        <w:iCs/>
      </w:rPr>
    </w:pPr>
  </w:p>
  <w:p w:rsidR="006D47AA" w:rsidRPr="000E329B" w:rsidRDefault="006D47AA" w:rsidP="004B08AC">
    <w:pPr>
      <w:autoSpaceDE w:val="0"/>
      <w:autoSpaceDN w:val="0"/>
      <w:adjustRightInd w:val="0"/>
      <w:jc w:val="both"/>
      <w:rPr>
        <w:rFonts w:ascii="Book Antiqua" w:hAnsi="Book Antiqua"/>
        <w:i/>
        <w:iCs/>
        <w:lang w:val="id-ID"/>
      </w:rPr>
    </w:pPr>
    <w:r>
      <w:rPr>
        <w:rFonts w:ascii="Book Antiqua" w:hAnsi="Book Antiqua"/>
        <w:i/>
        <w:iCs/>
      </w:rPr>
      <w:t>Author Name (Book Antique 10, Italic)</w:t>
    </w:r>
    <w:r>
      <w:t xml:space="preserve"> </w:t>
    </w:r>
    <w:r>
      <w:fldChar w:fldCharType="begin"/>
    </w:r>
    <w:r>
      <w:instrText xml:space="preserve"> PAGE   \* MERGEFORMAT </w:instrText>
    </w:r>
    <w:r>
      <w:fldChar w:fldCharType="separate"/>
    </w:r>
    <w:r>
      <w:rPr>
        <w:noProof/>
      </w:rPr>
      <w:t>4</w:t>
    </w:r>
    <w:r>
      <w:fldChar w:fldCharType="end"/>
    </w:r>
    <w:r>
      <w:t xml:space="preserve">                    </w:t>
    </w:r>
    <w:r>
      <w:rPr>
        <w:rFonts w:ascii="Book Antiqua" w:hAnsi="Book Antiqua"/>
        <w:i/>
        <w:iCs/>
      </w:rPr>
      <w:t>Title Fragment… (Book</w:t>
    </w:r>
    <w:r>
      <w:rPr>
        <w:rFonts w:ascii="Book Antiqua" w:hAnsi="Book Antiqua"/>
        <w:i/>
        <w:iCs/>
        <w:lang w:val="id-ID"/>
      </w:rPr>
      <w:t xml:space="preserve"> </w:t>
    </w:r>
    <w:r>
      <w:rPr>
        <w:rFonts w:ascii="Book Antiqua" w:hAnsi="Book Antiqua"/>
        <w:i/>
        <w:iCs/>
      </w:rPr>
      <w:t>Antique 10 Italic)</w:t>
    </w:r>
  </w:p>
  <w:p w:rsidR="006D47AA" w:rsidRPr="000E329B" w:rsidRDefault="006D47AA" w:rsidP="00BF24D0">
    <w:pPr>
      <w:outlineLvl w:val="2"/>
      <w:rPr>
        <w:rFonts w:ascii="Book Antiqua" w:hAnsi="Book Antiqua"/>
        <w:b/>
        <w:bCs/>
        <w:i/>
        <w:iCs/>
      </w:rPr>
    </w:pPr>
  </w:p>
  <w:p w:rsidR="006D47AA" w:rsidRDefault="006D47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AA" w:rsidRDefault="006D47AA" w:rsidP="005951BD">
    <w:pPr>
      <w:autoSpaceDE w:val="0"/>
      <w:autoSpaceDN w:val="0"/>
      <w:adjustRightInd w:val="0"/>
      <w:jc w:val="both"/>
      <w:rPr>
        <w:rFonts w:ascii="Book Antiqua" w:hAnsi="Book Antiqua"/>
        <w:i/>
        <w:iCs/>
        <w:lang w:val="id-ID"/>
      </w:rPr>
    </w:pPr>
  </w:p>
  <w:p w:rsidR="006D47AA" w:rsidRDefault="006D47AA" w:rsidP="004A019E">
    <w:pPr>
      <w:autoSpaceDE w:val="0"/>
      <w:autoSpaceDN w:val="0"/>
      <w:adjustRightInd w:val="0"/>
      <w:jc w:val="both"/>
    </w:pPr>
    <w:r>
      <w:rPr>
        <w:rFonts w:ascii="Book Antiqua" w:hAnsi="Book Antiqua"/>
        <w:i/>
        <w:iCs/>
      </w:rPr>
      <w:t>Author Name (Book Antique 10, Italic)</w:t>
    </w:r>
    <w:r>
      <w:t xml:space="preserve"> </w:t>
    </w:r>
    <w:r>
      <w:fldChar w:fldCharType="begin"/>
    </w:r>
    <w:r>
      <w:instrText xml:space="preserve"> PAGE   \* MERGEFORMAT </w:instrText>
    </w:r>
    <w:r>
      <w:fldChar w:fldCharType="separate"/>
    </w:r>
    <w:r w:rsidR="00CC5F5A">
      <w:rPr>
        <w:noProof/>
      </w:rPr>
      <w:t>1</w:t>
    </w:r>
    <w:r>
      <w:fldChar w:fldCharType="end"/>
    </w:r>
    <w:r>
      <w:t xml:space="preserve">                  </w:t>
    </w:r>
    <w:r w:rsidRPr="005951BD">
      <w:rPr>
        <w:rFonts w:ascii="Book Antiqua" w:hAnsi="Book Antiqua"/>
        <w:i/>
        <w:iCs/>
      </w:rPr>
      <w:t>Title Fragment… (Book</w:t>
    </w:r>
    <w:r>
      <w:rPr>
        <w:rFonts w:ascii="Book Antiqua" w:hAnsi="Book Antiqua"/>
        <w:i/>
        <w:iCs/>
        <w:lang w:val="id-ID"/>
      </w:rPr>
      <w:t xml:space="preserve"> </w:t>
    </w:r>
    <w:r>
      <w:rPr>
        <w:rFonts w:ascii="Book Antiqua" w:hAnsi="Book Antiqua"/>
        <w:i/>
        <w:iCs/>
      </w:rPr>
      <w:t>Antique 10 Italic)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84C" w:rsidRDefault="0005084C" w:rsidP="006D47AA">
      <w:r>
        <w:separator/>
      </w:r>
    </w:p>
  </w:footnote>
  <w:footnote w:type="continuationSeparator" w:id="0">
    <w:p w:rsidR="0005084C" w:rsidRDefault="0005084C" w:rsidP="006D47AA">
      <w:r>
        <w:continuationSeparator/>
      </w:r>
    </w:p>
  </w:footnote>
  <w:footnote w:id="1">
    <w:p w:rsidR="006D47AA" w:rsidRPr="00E809DB" w:rsidRDefault="006D47AA" w:rsidP="00E809DB">
      <w:pPr>
        <w:pStyle w:val="FootnoteText"/>
        <w:jc w:val="both"/>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Pr="00E809DB">
        <w:rPr>
          <w:rFonts w:ascii="Garamond" w:hAnsi="Garamond"/>
        </w:rPr>
        <w:instrText>ADDIN CSL_CITATION {"citationItems":[{"id":"ITEM-1","itemData":{"ISBN":"978-623-459-243-6","abstract":"Rendahnya Serapan tenaga kerja dalam dunia kerja perlu dikaji apakah persoalannya terjadi pada ketidaksiapan mahasiswa memasuki dunia kerja. Terdapat tiga kesiapan mahasiswa dalam memasuki dunia kerja meliputi Aspek Kemampuan, Aspek Kemauan dan Aspek Percaya Diri. Adapun tujuan dari penelitian ini adalah untuk mengetahui tingkat kesiapan mahasiswa tingkat akhir memasuki dunia kerja yang meliputi spek kemampuan, aspek kemauan dan aspek percaya diri. Jenis penelitian ini merupakan Deksriptif kuantitatif dengan populasi mahasiswa Bimbingan dan Konseling Tingkat Akhir yang berjumlah 66 orang. Adapun teknik pengambilan sampel dengan total sampling. Instrumen pengumpulan data dengan Skala Likert dengan tiga Indikator Kesiapan Memasuki Dunia Kerja yaitu Aspek Kemampuan, Aspek Kemauan dan Aspek Percaya Diri. Hasil penelitian menunjukkan bahwa secara umum mahasiswa tingkat akhir program studi Bimbingan dan Konseling memiliki Kesiapan Memasuki Dunia Kerja dengan kategori Cukup Baik (33.33%). Pada masing-masing indicator Aspek Kemampuan 38.01%, Aspek Kemauan 39.15% Dan Aspek Percaya Diri 39.51%. Berdasarkan data ini perlu ditingkatkan kesiapan Mahasiswa untuk memasuki dunia kerja melalui penguatan Soft Skills dan Skills dengan beragam jenis kegiatan.","author":[{"dropping-particle":"","family":"Alfi Rahmi","given":"Januar","non-dropping-particle":"","parse-names":false,"suffix":""}],"edition":"1","editor":[{"dropping-particle":"","family":"Alfi Rahmi","given":"Hidayani Syam","non-dropping-particle":"","parse-names":false,"suffix":""},{"dropping-particle":"","family":"Ahmad Masrur Firosad","given":"Nory Natalia.","non-dropping-particle":"","parse-names":false,"suffix":""}],"id":"ITEM-1","issued":{"date-parts":[["2022"]]},"number-of-pages":"130-139","publisher":"CV.WIDINA MEDIA UTAMA","publisher-place":"Bandung","title":"KESIAPAN MEMASUKI DUNIA KERJA PADA MAHASISWA PERGURUAN TINGGI","type":"book"},"uris":["http://www.mendeley.com/documents/?uuid=8faec614-56fc-421a-8a97-9c9ece7e5c0f"]}],"mendeley":{"formattedCitation":"Januar Alfi Rahmi, &lt;i&gt;KESIAPAN MEMASUKI DUNIA KERJA PADA MAHASISWA PERGURUAN TINGGI&lt;/i&gt;, ed. Hidayani Syam Alfi Rahmi and Nory Natalia. Ahmad Masrur Firosad, 1st ed. (Bandung: CV.WIDINA MEDIA UTAMA, 2022).","manualFormatting":"Januar Alfi Rahmi, READINESS TO ENTER THE WORLD OF WORK IN HIGHER EDUCATION STUDENTS , ed. Hidayani Syam Alfi Rahmi and Nory Natalia. Ahmad Masrur Firosad, 1st ed. (Bandung: CV. WIDINA MEDIA UTAMA, 2022).","plainTextFormattedCitation":"Januar Alfi Rahmi, KESIAPAN MEMASUKI DUNIA KERJA PADA MAHASISWA PERGURUAN TINGGI, ed. Hidayani Syam Alfi Rahmi and Nory Natalia. Ahmad Masrur Firosad, 1st ed. (Bandung: CV.WIDINA MEDIA UTAMA, 2022).","previouslyFormattedCitation":"Januar Alfi Rahmi, &lt;i&gt;KESIAPAN MEMASUKI DUNIA KERJA PADA MAHASISWA PERGURUAN TINGGI&lt;/i&gt;, ed. Hidayani Syam Alfi Rahmi and Nory Natalia. Ahmad Masrur Firosad, 1st ed. (Bandung: CV.WIDINA MEDIA UTAMA, 2022)."},"properties":{"noteIndex":1},"schema":"https://github.com/citation-style-language/schema/raw/master/csl-citation.json"}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Januar Alfi Rahmi, </w:t>
      </w:r>
      <w:r w:rsidRPr="00E809DB">
        <w:rPr>
          <w:rFonts w:ascii="Garamond" w:hAnsi="Garamond"/>
          <w:i/>
          <w:noProof/>
        </w:rPr>
        <w:t xml:space="preserve">READINESS TO ENTER THE WORLD OF WORK IN HIGHER EDUCATION STUDENTS </w:t>
      </w:r>
      <w:r w:rsidRPr="00E809DB">
        <w:rPr>
          <w:rFonts w:ascii="Garamond" w:hAnsi="Garamond"/>
          <w:noProof/>
        </w:rPr>
        <w:t>, ed. Hidayani Syam Alfi Rahmi and Nory Natalia. Ahmad Masrur Firosad, 1st ed. (Bandung: CV. WIDINA MEDIA UTAMA, 2022).</w:t>
      </w:r>
      <w:r w:rsidRPr="00E809DB">
        <w:rPr>
          <w:rFonts w:ascii="Garamond" w:hAnsi="Garamond"/>
        </w:rPr>
        <w:fldChar w:fldCharType="end"/>
      </w:r>
    </w:p>
  </w:footnote>
  <w:footnote w:id="2">
    <w:p w:rsidR="006D47AA" w:rsidRPr="00E809DB" w:rsidRDefault="006D47AA" w:rsidP="00E809DB">
      <w:pPr>
        <w:pStyle w:val="FootnoteText"/>
        <w:jc w:val="both"/>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Pr="00E809DB">
        <w:rPr>
          <w:rFonts w:ascii="Garamond" w:hAnsi="Garamond"/>
        </w:rPr>
        <w:instrText>ADDIN CSL_CITATION {"citationItems":[{"id":"ITEM-1","itemData":{"DOI":"10.2224/sbp.2015.43.4.649","ISSN":"03012212","abstract":"Our aim in this study was to identify the social factors that underpin the career adaptability of college graduates in China by examining the effects of social support and career self-efficacy on career adaptability among a sample of 879 Chinese college graduates. We also emphasized the moderating role of social comparison in influencing this relationship. The results showed that, (a) social support enhanced career adaptability, (b) career self-efficacy played a mediating role in the relationship between social support and career adaptability, and (c) social comparison orientation moderated the mediation model; specifically, a high social comparison orientation weakened the enhancing effect of social support on career self-efficacy and career adaptability. Theoretical and practical implications of these findings are discussed.","author":[{"dropping-particle":"","family":"Wang","given":"Zhongming","non-dropping-particle":"","parse-names":false,"suffix":""},{"dropping-particle":"","family":"Fu","given":"Ying","non-dropping-particle":"","parse-names":false,"suffix":""}],"container-title":"Social Behavior and Personality","id":"ITEM-1","issue":"4","issued":{"date-parts":[["2015"]]},"page":"649-660","title":"Social support, social comparison, and career adaptability: A moderated mediation model","type":"article-journal","volume":"43"},"uris":["http://www.mendeley.com/documents/?uuid=505966d3-244c-4a38-a0be-2d1c45a50e7b"]}],"mendeley":{"formattedCitation":"Zhongming Wang and Ying Fu, “Social Support, Social Comparison, and Career Adaptability: A Moderated Mediation Model,” &lt;i&gt;Social Behavior and Personality&lt;/i&gt; 43, no. 4 (2015): 649–660.","plainTextFormattedCitation":"Zhongming Wang and Ying Fu, “Social Support, Social Comparison, and Career Adaptability: A Moderated Mediation Model,” Social Behavior and Personality 43, no. 4 (2015): 649–660.","previouslyFormattedCitation":"Zhongming Wang and Ying Fu, “Social Support, Social Comparison, and Career Adaptability: A Moderated Mediation Model,” &lt;i&gt;Social Behavior and Personality&lt;/i&gt; 43, no. 4 (2015): 649–660."},"properties":{"noteIndex":2},"schema":"https://github.com/citation-style-language/schema/raw/master/csl-citation.json"}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Zhongming Wang and Ying Fu, “Social Support, Social Comparison, and Career Adaptability: A Moderated Mediation Model,” </w:t>
      </w:r>
      <w:r w:rsidRPr="00E809DB">
        <w:rPr>
          <w:rFonts w:ascii="Garamond" w:hAnsi="Garamond"/>
          <w:i/>
          <w:noProof/>
        </w:rPr>
        <w:t xml:space="preserve">Social Behavior and Personality </w:t>
      </w:r>
      <w:r w:rsidRPr="00E809DB">
        <w:rPr>
          <w:rFonts w:ascii="Garamond" w:hAnsi="Garamond"/>
          <w:noProof/>
        </w:rPr>
        <w:t>43, no. 4 (2015): 649–660.</w:t>
      </w:r>
      <w:r w:rsidRPr="00E809DB">
        <w:rPr>
          <w:rFonts w:ascii="Garamond" w:hAnsi="Garamond"/>
        </w:rPr>
        <w:fldChar w:fldCharType="end"/>
      </w:r>
    </w:p>
  </w:footnote>
  <w:footnote w:id="3">
    <w:p w:rsidR="006D47AA" w:rsidRPr="00E809DB" w:rsidRDefault="006D47AA" w:rsidP="00E809DB">
      <w:pPr>
        <w:pStyle w:val="FootnoteText"/>
        <w:jc w:val="both"/>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Pr="00E809DB">
        <w:rPr>
          <w:rFonts w:ascii="Garamond" w:hAnsi="Garamond"/>
        </w:rPr>
        <w:instrText>ADDIN CSL_CITATION {"citationItems":[{"id":"ITEM-1","itemData":{"DOI":"10.2224/sbp.2015.43.4.649","ISSN":"03012212","abstract":"Our aim in this study was to identify the social factors that underpin the career adaptability of college graduates in China by examining the effects of social support and career self-efficacy on career adaptability among a sample of 879 Chinese college graduates. We also emphasized the moderating role of social comparison in influencing this relationship. The results showed that, (a) social support enhanced career adaptability, (b) career self-efficacy played a mediating role in the relationship between social support and career adaptability, and (c) social comparison orientation moderated the mediation model; specifically, a high social comparison orientation weakened the enhancing effect of social support on career self-efficacy and career adaptability. Theoretical and practical implications of these findings are discussed.","author":[{"dropping-particle":"","family":"Wang","given":"Zhongming","non-dropping-particle":"","parse-names":false,"suffix":""},{"dropping-particle":"","family":"Fu","given":"Ying","non-dropping-particle":"","parse-names":false,"suffix":""}],"container-title":"Social Behavior and Personality","id":"ITEM-1","issue":"4","issued":{"date-parts":[["2015"]]},"page":"649-660","title":"Social support, social comparison, and career adaptability: A moderated mediation model","type":"article-journal","volume":"43"},"uris":["http://www.mendeley.com/documents/?uuid=505966d3-244c-4a38-a0be-2d1c45a50e7b"]}],"mendeley":{"formattedCitation":"Wang and Fu, “Social Support, Social Comparison, and Career Adaptability: A Moderated Mediation Model.”","manualFormatting":"Wang and Fu, \"Social Support, Social Comparison, and Career Adaptability: A Moderated Mediation Model.\"","plainTextFormattedCitation":"Wang and Fu, “Social Support, Social Comparison, and Career Adaptability: A Moderated Mediation Model.”","previouslyFormattedCitation":"Wang and Fu, “Social Support, Social Comparison, and Career Adaptability: A Moderated Mediation Model.”"},"properties":{"noteIndex":3},"schema":"https://github.com/citation-style-language/schema/raw/master/csl-citation.json"}</w:instrText>
      </w:r>
      <w:r w:rsidRPr="00E809DB">
        <w:rPr>
          <w:rFonts w:ascii="Garamond" w:hAnsi="Garamond"/>
        </w:rPr>
        <w:fldChar w:fldCharType="separate"/>
      </w:r>
      <w:r w:rsidRPr="00E809DB">
        <w:rPr>
          <w:rFonts w:ascii="Garamond" w:hAnsi="Garamond"/>
          <w:noProof/>
        </w:rPr>
        <w:t>Wang and Fu, "Social Support, Social Comparison, and Career Adaptability: A Moderated Mediation Model."</w:t>
      </w:r>
      <w:r w:rsidRPr="00E809DB">
        <w:rPr>
          <w:rFonts w:ascii="Garamond" w:hAnsi="Garamond"/>
        </w:rPr>
        <w:fldChar w:fldCharType="end"/>
      </w:r>
    </w:p>
  </w:footnote>
  <w:footnote w:id="4">
    <w:p w:rsidR="006D47AA" w:rsidRPr="00E809DB" w:rsidRDefault="006D47AA" w:rsidP="00E809DB">
      <w:pPr>
        <w:pStyle w:val="FootnoteText"/>
        <w:jc w:val="both"/>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Pr="00E809DB">
        <w:rPr>
          <w:rFonts w:ascii="Garamond" w:hAnsi="Garamond"/>
        </w:rPr>
        <w:instrText>ADDIN CSL_CITATION {"citationItems":[{"id":"ITEM-1","itemData":{"DOI":"10.1177/0894845309345844","ISBN":"0894-8453","abstract":"This study investigated the content, realism, stability, and coherence of the career aspirations of 262 students in seventh grade in Switzerland (ages 13-15 years). The content analysis revealed that 82% of the participants named at least one realistic career aspiration, and aspirations showed clear resemblance to existing opportunities in the environment. Quantitative analyses confirmed the hypotheses that realism and stability of aspirations over a 10-month period could better be predicted by individual degree of career adaptability as measured by planfulness and exploration than by chronological age when grade level was controlled for. Coherence of aspirations was not related to age or adaptability. Students attending basic scholastic requirements school tracks reported more adaptability but not more realistic, stable, or coherent aspirations compared to students in advanced requirements tracks.","author":[{"dropping-particle":"","family":"Hirschi","given":"Andreas","non-dropping-particle":"","parse-names":false,"suffix":""}],"container-title":"Journal of Career Development","id":"ITEM-1","issue":"3","issued":{"date-parts":[["2009"]]},"note":"Cited By (since 2009): 29","page":"228-245","publisher":"SAGE Publications","title":"Swiss Adolescents’ Career Aspirations: Influence of Context, Age, and Career Adaptability","type":"article","volume":"36"},"uris":["http://www.mendeley.com/documents/?uuid=923e88da-e7d1-4d8d-ae58-b09eb1e1dfdc"]}],"mendeley":{"formattedCitation":"Andreas Hirschi, “Swiss Adolescents’ Career Aspirations: Influence of Context, Age, and Career Adaptability,” &lt;i&gt;Journal of Career Development&lt;/i&gt; (SAGE Publications, 2009), http://dx.doi.org/10.1177/0894845309345844.","plainTextFormattedCitation":"Andreas Hirschi, “Swiss Adolescents’ Career Aspirations: Influence of Context, Age, and Career Adaptability,” Journal of Career Development (SAGE Publications, 2009), http://dx.doi.org/10.1177/0894845309345844.","previouslyFormattedCitation":"Andreas Hirschi, “Swiss Adolescents’ Career Aspirations: Influence of Context, Age, and Career Adaptability,” &lt;i&gt;Journal of Career Development&lt;/i&gt; (SAGE Publications, 2009), http://dx.doi.org/10.1177/0894845309345844."},"properties":{"noteIndex":4},"schema":"https://github.com/citation-style-language/schema/raw/master/csl-citation.json"}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Andreas Hirschi, “Swiss Adolescents’ Career Aspirations: Influence of Context, Age, and Career Adaptability,” </w:t>
      </w:r>
      <w:r w:rsidRPr="00E809DB">
        <w:rPr>
          <w:rFonts w:ascii="Garamond" w:hAnsi="Garamond"/>
          <w:i/>
          <w:noProof/>
        </w:rPr>
        <w:t>Journal of Career Development</w:t>
      </w:r>
      <w:r w:rsidRPr="00E809DB">
        <w:rPr>
          <w:rFonts w:ascii="Garamond" w:hAnsi="Garamond"/>
          <w:noProof/>
        </w:rPr>
        <w:t xml:space="preserve"> (SAGE Publications, 2009), http://dx.doi.org/10.1177/0894845309345844.</w:t>
      </w:r>
      <w:r w:rsidRPr="00E809DB">
        <w:rPr>
          <w:rFonts w:ascii="Garamond" w:hAnsi="Garamond"/>
        </w:rPr>
        <w:fldChar w:fldCharType="end"/>
      </w:r>
    </w:p>
  </w:footnote>
  <w:footnote w:id="5">
    <w:p w:rsidR="006D47AA" w:rsidRPr="006D47AA" w:rsidRDefault="006D47AA" w:rsidP="00E809DB">
      <w:pPr>
        <w:pStyle w:val="FootnoteText"/>
        <w:jc w:val="both"/>
        <w:rPr>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00572E01" w:rsidRPr="00E809DB">
        <w:rPr>
          <w:rFonts w:ascii="Garamond" w:hAnsi="Garamond"/>
        </w:rPr>
        <w:instrText>ADDIN CSL_CITATION {"citationItems":[{"id":"ITEM-1","itemData":{"DOI":"10.13152/IJRVET.3.3.3","ISSN":"21978646","abstract":"This paper examined predictors of career adaptability skill among higher education students in Nigeria. A sample of 603 higher education students randomly selected from six colleges of education in Nigeria participated in this study. A set of self-reported questionnaire was used for data collection, and multiple linear regression analysis was used to analyze the data. Results indicated that 33.3% of career adaptability skill was explained by the model. Four out of the five predictor variables significantly predicted career adaptability skill among higher education students in Nigeria. Among the four predictors, career self-efficacy sources was the most statistically significant predictor of career adaptability skill among higher education students in Nigeria, followed by personal goal orientation, career future concern, and perceived social support respectively. Vocational identity did not statistically predict career adaptability skill among higher education students in Nigeria. The study suggested that similar study should be replicated in other parts of the world in view of the importance of career adaptability skill to the smooth transition of graduates from school to the labor market. The study concluded by requesting stakeholders of higher institutions in Nigeria to provide career exploration database for the students, and encourage career intervention program in order to enhance career adaptability skill among the students.","author":[{"dropping-particle":"","family":"Ebenehi","given":"Amos Shaibu","non-dropping-particle":"","parse-names":false,"suffix":""},{"dropping-particle":"","family":"Rashid","given":"Abdullah Mat","non-dropping-particle":"","parse-names":false,"suffix":""},{"dropping-particle":"","family":"Bakar","given":"Ab Rahim","non-dropping-particle":"","parse-names":false,"suffix":""}],"container-title":"International Journal for Research in Vocational Education and Training","id":"ITEM-1","issue":"3","issued":{"date-parts":[["2016"]]},"page":"212-229","title":"Predictors of career adaptability skill among higher education students in Nigeria","type":"article-journal","volume":"3"},"uris":["http://www.mendeley.com/documents/?uuid=e76d11be-aa41-43b7-9647-289228f34129"]}],"mendeley":{"formattedCitation":"Amos Shaibu Ebenehi, Abdullah Mat Rashid, and Ab Rahim Bakar, “Predictors of Career Adaptability Skill among Higher Education Students in Nigeria,” &lt;i&gt;International Journal for Research in Vocational Education and Training&lt;/i&gt; 3, no. 3 (2016): 212–229.","plainTextFormattedCitation":"Amos Shaibu Ebenehi, Abdullah Mat Rashid, and Ab Rahim Bakar, “Predictors of Career Adaptability Skill among Higher Education Students in Nigeria,” International Journal for Research in Vocational Education and Training 3, no. 3 (2016): 212–229.","previouslyFormattedCitation":"Amos Shaibu Ebenehi, Abdullah Mat Rashid, and Ab Rahim Bakar, “Predictors of Career Adaptability Skill among Higher Education Students in Nigeria,” &lt;i&gt;International Journal for Research in Vocational Education and Training&lt;/i&gt; 3, no. 3 (2016): 212–229."},"properties":{"noteIndex":5},"schema":"https://github.com/citation-style-language/schema/raw/master/csl-citation.json"}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Amos Shaibu Ebenehi, Abdullah Mat Rashid, and Ab Rahim Bakar, “Predictors of Career Adaptability Skill among Higher Education Students in Nigeria,” </w:t>
      </w:r>
      <w:r w:rsidRPr="00E809DB">
        <w:rPr>
          <w:rFonts w:ascii="Garamond" w:hAnsi="Garamond"/>
          <w:i/>
          <w:noProof/>
        </w:rPr>
        <w:t>International Journal for Research in Vocational Education and Training</w:t>
      </w:r>
      <w:r w:rsidRPr="00E809DB">
        <w:rPr>
          <w:rFonts w:ascii="Garamond" w:hAnsi="Garamond"/>
          <w:noProof/>
        </w:rPr>
        <w:t xml:space="preserve"> 3, no. 3 (2016): 212–229.</w:t>
      </w:r>
      <w:r w:rsidRPr="00E809DB">
        <w:rPr>
          <w:rFonts w:ascii="Garamond" w:hAnsi="Garamond"/>
        </w:rPr>
        <w:fldChar w:fldCharType="end"/>
      </w:r>
    </w:p>
  </w:footnote>
  <w:footnote w:id="6">
    <w:p w:rsidR="006D47AA" w:rsidRPr="0058045F" w:rsidRDefault="006D47AA" w:rsidP="006D47AA">
      <w:pPr>
        <w:pStyle w:val="FootnoteText"/>
        <w:rPr>
          <w:rFonts w:ascii="Garamond" w:hAnsi="Garamond"/>
          <w:lang w:val="en-US"/>
        </w:rPr>
      </w:pPr>
      <w:r w:rsidRPr="0058045F">
        <w:rPr>
          <w:rStyle w:val="FootnoteReference"/>
          <w:rFonts w:ascii="Garamond" w:hAnsi="Garamond"/>
        </w:rPr>
        <w:footnoteRef/>
      </w:r>
      <w:r w:rsidRPr="0058045F">
        <w:rPr>
          <w:rFonts w:ascii="Garamond" w:hAnsi="Garamond"/>
        </w:rPr>
        <w:t xml:space="preserve"> </w:t>
      </w:r>
      <w:r w:rsidRPr="0058045F">
        <w:rPr>
          <w:rFonts w:ascii="Garamond" w:hAnsi="Garamond"/>
        </w:rPr>
        <w:fldChar w:fldCharType="begin" w:fldLock="1"/>
      </w:r>
      <w:r>
        <w:rPr>
          <w:rFonts w:ascii="Garamond" w:hAnsi="Garamond"/>
        </w:rPr>
        <w:instrText>ADDIN CSL_CITATION {"citationItems":[{"id":"ITEM-1","itemData":{"DOI":"10.1016/j.jvb.2012.01.011","ISSN":"00018791","abstract":"Researchers from 13 countries collaborated in constructing a psychometric scale to measure career adaptability. Based on four pilot tests, a research version of the proposed scale consisting of 55 items was field tested in 13 countries. The resulting Career Adapt-Abilities Scale (CAAS) consists of four scales, each with six items. The four scales measure concern, control, curiosity, and confidence as psychosocial resources for managing occupational transitions, developmental tasks, and work traumas. The CAAS demonstrated metric invariance across all the countries, but did not exhibit residual/strict invariance or scalar invariance. The reliabilities of the CAAS subscales and the combined adaptability scale range from acceptable to excellent when computed with the combined data. As expected, the reliability estimates varied across countries. Nevertheless, the internal consistency estimates for the four subscales of concern, control, curiosity, and confidence were generally acceptable to excellent. The internal consistency estimates for the CAAS total score were excellent across all countries. Separate articles in this special issue report the psychometric characteristics of the CAAS, including initial validity evidence, for each of the 13 countries that collaborated in constructing the Scale. © 2012 Elsevier Inc.","author":[{"dropping-particle":"","family":"Savickas","given":"Mark L.","non-dropping-particle":"","parse-names":false,"suffix":""},{"dropping-particle":"","family":"Porfeli","given":"Erik J.","non-dropping-particle":"","parse-names":false,"suffix":""}],"container-title":"Journal of Vocational Behavior","id":"ITEM-1","issue":"3","issued":{"date-parts":[["2012"]]},"page":"661-673","publisher":"Elsevier Inc.","title":"Career Adapt-Abilities Scale: Construction, reliability, and measurement equivalence across 13 countries","type":"article-journal","volume":"80"},"uris":["http://www.mendeley.com/documents/?uuid=26e075bf-748d-4e51-bb39-a38239c628ce"]}],"mendeley":{"formattedCitation":"Mark L. Savickas and Erik J. Porfeli, “Career Adapt-Abilities Scale: Construction, Reliability, and Measurement Equivalence across 13 Countries,” &lt;i&gt;Journal of Vocational Behavior&lt;/i&gt; 80, no. 3 (2012): 661–673, http://dx.doi.org/10.1016/j.jvb.2012.01.011.","manualFormatting":"(Savickas &amp; Porfeli, 2012;","plainTextFormattedCitation":"Mark L. Savickas and Erik J. Porfeli, “Career Adapt-Abilities Scale: Construction, Reliability, and Measurement Equivalence across 13 Countries,” Journal of Vocational Behavior 80, no. 3 (2012): 661–673, http://dx.doi.org/10.1016/j.jvb.2012.01.011.","previouslyFormattedCitation":"Mark L. Savickas and Erik J. Porfeli, “Career Adapt-Abilities Scale: Construction, Reliability, and Measurement Equivalence across 13 Countries,” &lt;i&gt;Journal of Vocational Behavior&lt;/i&gt; 80, no. 3 (2012): 661–673, http://dx.doi.org/10.1016/j.jvb.2012.01.011."},"properties":{"noteIndex":6},"schema":"https://github.com/citation-style-language/schema/raw/master/csl-citation.json"}</w:instrText>
      </w:r>
      <w:r w:rsidRPr="0058045F">
        <w:rPr>
          <w:rFonts w:ascii="Garamond" w:hAnsi="Garamond"/>
        </w:rPr>
        <w:fldChar w:fldCharType="separate"/>
      </w:r>
      <w:r w:rsidRPr="0058045F">
        <w:rPr>
          <w:rFonts w:ascii="Garamond" w:hAnsi="Garamond"/>
          <w:noProof/>
        </w:rPr>
        <w:t>(Savickas &amp; Porfeli, 2012;</w:t>
      </w:r>
      <w:r w:rsidRPr="0058045F">
        <w:rPr>
          <w:rFonts w:ascii="Garamond" w:hAnsi="Garamond"/>
        </w:rPr>
        <w:fldChar w:fldCharType="end"/>
      </w:r>
    </w:p>
  </w:footnote>
  <w:footnote w:id="7">
    <w:p w:rsidR="006D47AA" w:rsidRPr="0058045F" w:rsidRDefault="006D47AA" w:rsidP="006D47AA">
      <w:pPr>
        <w:pStyle w:val="FootnoteText"/>
        <w:rPr>
          <w:rFonts w:ascii="Garamond" w:hAnsi="Garamond"/>
          <w:lang w:val="en-US"/>
        </w:rPr>
      </w:pPr>
      <w:r w:rsidRPr="0058045F">
        <w:rPr>
          <w:rStyle w:val="FootnoteReference"/>
          <w:rFonts w:ascii="Garamond" w:hAnsi="Garamond"/>
        </w:rPr>
        <w:footnoteRef/>
      </w:r>
      <w:r w:rsidRPr="0058045F">
        <w:rPr>
          <w:rFonts w:ascii="Garamond" w:hAnsi="Garamond"/>
        </w:rPr>
        <w:t xml:space="preserve"> </w:t>
      </w:r>
      <w:r w:rsidRPr="0058045F">
        <w:rPr>
          <w:rFonts w:ascii="Garamond" w:hAnsi="Garamond"/>
        </w:rPr>
        <w:fldChar w:fldCharType="begin" w:fldLock="1"/>
      </w:r>
      <w:r>
        <w:rPr>
          <w:rFonts w:ascii="Garamond" w:hAnsi="Garamond"/>
        </w:rPr>
        <w:instrText>ADDIN CSL_CITATION {"citationItems":[{"id":"ITEM-1","itemData":{"DOI":"10.1016/j.jvb.2012.10.003","ISSN":"00018791","abstract":"The transition from school to work is one of the most critical steps in graduates' careers, as it can determine vocational outcomes and future career success. Yet, these newcomers to the labor market often take longer than regular job seekers to find a suitable job, are more likely to experience a job mismatch and to suffer from underemployment. In this study, we proposed that career adaptability might help remedy this problem. We therefore developed a training aimed at providing graduates with career adaptability resources, with the assumption that this may foster training-participants' later career adaptability and employment quality. A longitudinal field quasi-experiment compared the development of each career adaptability dimension between a training group (n= 32) and a control group (n= 24) over three points in time (pre-training measurement, post-training measurement and follow-up measurement six months later). Repeated measures analyses showed an overall increase in concern, control and curiosity within the training group, whereas there was no increase (concern) or even an overall decrease (control and curiosity) within the control group. Consequently, the training succeeded in enhancing participants' control and curiosity in the long run. Furthermore, among participants who had found employment half a year later, training participants reported higher employment quality than did members of the control group. In sum, results show that providing graduates with career adaptability resources can raise their chances on finding a qualitatively good job. © 2012 Elsevier Inc.","author":[{"dropping-particle":"","family":"Koen","given":"Jessie","non-dropping-particle":"","parse-names":false,"suffix":""},{"dropping-particle":"","family":"Klehe","given":"Ute Christine","non-dropping-particle":"","parse-names":false,"suffix":""},{"dropping-particle":"","family":"Vianen","given":"Annelies E.M.","non-dropping-particle":"Van","parse-names":false,"suffix":""}],"container-title":"Journal of Vocational Behavior","id":"ITEM-1","issue":"3","issued":{"date-parts":[["2012"]]},"page":"395-408","publisher":"Elsevier Inc.","title":"Training career adaptability to facilitate a successful school-to-work transition","type":"article-journal","volume":"81"},"uris":["http://www.mendeley.com/documents/?uuid=4f4d43e3-7857-4630-b9f5-e7af906b2647"]}],"mendeley":{"formattedCitation":"Jessie Koen, Ute Christine Klehe, and Annelies E.M. Van Vianen, “Training Career Adaptability to Facilitate a Successful School-to-Work Transition,” &lt;i&gt;Journal of Vocational Behavior&lt;/i&gt; 81, no. 3 (2012): 395–408, http://dx.doi.org/10.1016/j.jvb.2012.10.003.","manualFormatting":"Koen et al., 2012)","plainTextFormattedCitation":"Jessie Koen, Ute Christine Klehe, and Annelies E.M. Van Vianen, “Training Career Adaptability to Facilitate a Successful School-to-Work Transition,” Journal of Vocational Behavior 81, no. 3 (2012): 395–408, http://dx.doi.org/10.1016/j.jvb.2012.10.003.","previouslyFormattedCitation":"Jessie Koen, Ute Christine Klehe, and Annelies E.M. Van Vianen, “Training Career Adaptability to Facilitate a Successful School-to-Work Transition,” &lt;i&gt;Journal of Vocational Behavior&lt;/i&gt; 81, no. 3 (2012): 395–408, http://dx.doi.org/10.1016/j.jvb.2012.10.003."},"properties":{"noteIndex":7},"schema":"https://github.com/citation-style-language/schema/raw/master/csl-citation.json"}</w:instrText>
      </w:r>
      <w:r w:rsidRPr="0058045F">
        <w:rPr>
          <w:rFonts w:ascii="Garamond" w:hAnsi="Garamond"/>
        </w:rPr>
        <w:fldChar w:fldCharType="separate"/>
      </w:r>
      <w:r w:rsidRPr="0058045F">
        <w:rPr>
          <w:rFonts w:ascii="Garamond" w:hAnsi="Garamond"/>
          <w:noProof/>
        </w:rPr>
        <w:t>Koen et al., 2012)</w:t>
      </w:r>
      <w:r w:rsidRPr="0058045F">
        <w:rPr>
          <w:rFonts w:ascii="Garamond" w:hAnsi="Garamond"/>
        </w:rPr>
        <w:fldChar w:fldCharType="end"/>
      </w:r>
    </w:p>
  </w:footnote>
  <w:footnote w:id="8">
    <w:p w:rsidR="006D47AA" w:rsidRPr="00F5597C" w:rsidRDefault="006D47AA" w:rsidP="006D47AA">
      <w:pPr>
        <w:pStyle w:val="FootnoteText"/>
        <w:rPr>
          <w:lang w:val="en-US"/>
        </w:rPr>
      </w:pPr>
      <w:r w:rsidRPr="0058045F">
        <w:rPr>
          <w:rStyle w:val="FootnoteReference"/>
          <w:rFonts w:ascii="Garamond" w:hAnsi="Garamond"/>
        </w:rPr>
        <w:footnoteRef/>
      </w:r>
      <w:r w:rsidRPr="0058045F">
        <w:rPr>
          <w:rFonts w:ascii="Garamond" w:hAnsi="Garamond"/>
        </w:rPr>
        <w:t xml:space="preserve"> </w:t>
      </w:r>
      <w:r w:rsidRPr="0058045F">
        <w:rPr>
          <w:rFonts w:ascii="Garamond" w:hAnsi="Garamond"/>
        </w:rPr>
        <w:fldChar w:fldCharType="begin" w:fldLock="1"/>
      </w:r>
      <w:r>
        <w:rPr>
          <w:rFonts w:ascii="Garamond" w:hAnsi="Garamond"/>
        </w:rPr>
        <w:instrText>ADDIN CSL_CITATION {"citationItems":[{"id":"ITEM-1","itemData":{"DOI":"10.1016/j.jvb.2012.01.011","ISSN":"00018791","abstract":"Researchers from 13 countries collaborated in constructing a psychometric scale to measure career adaptability. Based on four pilot tests, a research version of the proposed scale consisting of 55 items was field tested in 13 countries. The resulting Career Adapt-Abilities Scale (CAAS) consists of four scales, each with six items. The four scales measure concern, control, curiosity, and confidence as psychosocial resources for managing occupational transitions, developmental tasks, and work traumas. The CAAS demonstrated metric invariance across all the countries, but did not exhibit residual/strict invariance or scalar invariance. The reliabilities of the CAAS subscales and the combined adaptability scale range from acceptable to excellent when computed with the combined data. As expected, the reliability estimates varied across countries. Nevertheless, the internal consistency estimates for the four subscales of concern, control, curiosity, and confidence were generally acceptable to excellent. The internal consistency estimates for the CAAS total score were excellent across all countries. Separate articles in this special issue report the psychometric characteristics of the CAAS, including initial validity evidence, for each of the 13 countries that collaborated in constructing the Scale. © 2012 Elsevier Inc.","author":[{"dropping-particle":"","family":"Savickas","given":"Mark L.","non-dropping-particle":"","parse-names":false,"suffix":""},{"dropping-particle":"","family":"Porfeli","given":"Erik J.","non-dropping-particle":"","parse-names":false,"suffix":""}],"container-title":"Journal of Vocational Behavior","id":"ITEM-1","issue":"3","issued":{"date-parts":[["2012"]]},"page":"661-673","publisher":"Elsevier Inc.","title":"Career Adapt-Abilities Scale: Construction, reliability, and measurement equivalence across 13 countries","type":"article-journal","volume":"80"},"uris":["http://www.mendeley.com/documents/?uuid=26e075bf-748d-4e51-bb39-a38239c628ce"]}],"mendeley":{"formattedCitation":"Savickas and Porfeli, “Career Adapt-Abilities Scale: Construction, Reliability, and Measurement Equivalence across 13 Countries.”","plainTextFormattedCitation":"Savickas and Porfeli, “Career Adapt-Abilities Scale: Construction, Reliability, and Measurement Equivalence across 13 Countries.”","previouslyFormattedCitation":"Savickas and Porfeli, “Career Adapt-Abilities Scale: Construction, Reliability, and Measurement Equivalence across 13 Countries.”"},"properties":{"noteIndex":8},"schema":"https://github.com/citation-style-language/schema/raw/master/csl-citation.json"}</w:instrText>
      </w:r>
      <w:r w:rsidRPr="0058045F">
        <w:rPr>
          <w:rFonts w:ascii="Garamond" w:hAnsi="Garamond"/>
        </w:rPr>
        <w:fldChar w:fldCharType="separate"/>
      </w:r>
      <w:r w:rsidRPr="006D47AA">
        <w:rPr>
          <w:rFonts w:ascii="Garamond" w:hAnsi="Garamond"/>
          <w:noProof/>
        </w:rPr>
        <w:t>Savickas and Porfeli, “Career Adapt-Abilities Scale: Construction, Reliability, and Measurement Equivalence across 13 Countries.”</w:t>
      </w:r>
      <w:r w:rsidRPr="0058045F">
        <w:rPr>
          <w:rFonts w:ascii="Garamond" w:hAnsi="Garamond"/>
        </w:rPr>
        <w:fldChar w:fldCharType="end"/>
      </w:r>
    </w:p>
  </w:footnote>
  <w:footnote w:id="9">
    <w:p w:rsidR="00572E01" w:rsidRPr="00E809DB" w:rsidRDefault="00572E01">
      <w:pPr>
        <w:pStyle w:val="FootnoteText"/>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Pr="00E809DB">
        <w:rPr>
          <w:rFonts w:ascii="Garamond" w:hAnsi="Garamond"/>
        </w:rPr>
        <w:instrText>ADDIN CSL_CITATION {"citationItems":[{"id":"ITEM-1","itemData":{"author":[{"dropping-particle":"","family":"Sarafino, E.","given":"P","non-dropping-particle":"","parse-names":false,"suffix":""}],"id":"ITEM-1","issued":{"date-parts":[["2011"]]},"publisher":"John Wiley &amp; Sons, Inc.","publisher-place":"New York","title":"Health Psychology: Biopsychosocial Interaction","type":"book"},"uris":["http://www.mendeley.com/documents/?uuid=b5a98054-2bdf-4ee4-b7cb-a1d9d6772425"]}],"mendeley":{"formattedCitation":"P Sarafino, E., &lt;i&gt;Health Psychology: Biopsychosocial Interaction&lt;/i&gt; (New York: John Wiley &amp; Sons, Inc., 2011).","plainTextFormattedCitation":"P Sarafino, E., Health Psychology: Biopsychosocial Interaction (New York: John Wiley &amp; Sons, Inc., 2011)."},"properties":{"noteIndex":9},"schema":"https://github.com/citation-style-language/schema/raw/master/csl-citation.json"}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P Sarafino, E., </w:t>
      </w:r>
      <w:r w:rsidRPr="00E809DB">
        <w:rPr>
          <w:rFonts w:ascii="Garamond" w:hAnsi="Garamond"/>
          <w:i/>
          <w:noProof/>
        </w:rPr>
        <w:t>Health Psychology: Biopsychosocial Interaction</w:t>
      </w:r>
      <w:r w:rsidRPr="00E809DB">
        <w:rPr>
          <w:rFonts w:ascii="Garamond" w:hAnsi="Garamond"/>
          <w:noProof/>
        </w:rPr>
        <w:t xml:space="preserve"> (New York: John Wiley &amp; Sons, Inc., 2011).</w:t>
      </w:r>
      <w:r w:rsidRPr="00E809DB">
        <w:rPr>
          <w:rFonts w:ascii="Garamond" w:hAnsi="Garamond"/>
        </w:rPr>
        <w:fldChar w:fldCharType="end"/>
      </w:r>
    </w:p>
  </w:footnote>
  <w:footnote w:id="10">
    <w:p w:rsidR="006D47AA" w:rsidRPr="00E809DB" w:rsidRDefault="006D47AA" w:rsidP="006D47AA">
      <w:pPr>
        <w:pStyle w:val="FootnoteText"/>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00572E01" w:rsidRPr="00E809DB">
        <w:rPr>
          <w:rFonts w:ascii="Garamond" w:hAnsi="Garamond"/>
        </w:rPr>
        <w:instrText>ADDIN CSL_CITATION {"citationItems":[{"id":"ITEM-1","itemData":{"author":[{"dropping-particle":"","family":"Cutrona, C.E","given":"et al.","non-dropping-particle":"","parse-names":false,"suffix":""}],"container-title":"Journal of Personality and Social Psychology","id":"ITEM-1","issued":{"date-parts":[["66"]]},"title":"Peceived parental social support and academic achievement: an attachment theory perspective","type":"article-journal","volume":"2"},"uris":["http://www.mendeley.com/documents/?uuid=719f9013-2545-4e44-a834-8d0cb50c168c"]}],"mendeley":{"formattedCitation":"et al. Cutrona, C.E, “Peceived Parental Social Support and Academic Achievement: An Attachment Theory Perspective,” &lt;i&gt;Journal of Personality and Social Psychology&lt;/i&gt; 2 (66AD).","plainTextFormattedCitation":"et al. Cutrona, C.E, “Peceived Parental Social Support and Academic Achievement: An Attachment Theory Perspective,” Journal of Personality and Social Psychology 2 (66AD).","previouslyFormattedCitation":"et al. Cutrona, C.E, “Peceived Parental Social Support and Academic Achievement: An Attachment Theory Perspective,” &lt;i&gt;Journal of Personality and Social Psychology&lt;/i&gt; 2 (66AD)."},"properties":{"noteIndex":10},"schema":"https://github.com/citation-style-language/schema/raw/master/csl-citation.json"}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et al. Cutrona, C.E, “Peceived Parental Social Support and Academic Achievement: An Attachment Theory Perspective,” </w:t>
      </w:r>
      <w:r w:rsidRPr="00E809DB">
        <w:rPr>
          <w:rFonts w:ascii="Garamond" w:hAnsi="Garamond"/>
          <w:i/>
          <w:noProof/>
        </w:rPr>
        <w:t>Journal of Personality and Social Psychology</w:t>
      </w:r>
      <w:r w:rsidRPr="00E809DB">
        <w:rPr>
          <w:rFonts w:ascii="Garamond" w:hAnsi="Garamond"/>
          <w:noProof/>
        </w:rPr>
        <w:t xml:space="preserve"> 2 (66AD).</w:t>
      </w:r>
      <w:r w:rsidRPr="00E809DB">
        <w:rPr>
          <w:rFonts w:ascii="Garamond" w:hAnsi="Garamond"/>
        </w:rPr>
        <w:fldChar w:fldCharType="end"/>
      </w:r>
    </w:p>
  </w:footnote>
  <w:footnote w:id="11">
    <w:p w:rsidR="006D47AA" w:rsidRPr="00E809DB" w:rsidRDefault="006D47AA" w:rsidP="006D47AA">
      <w:pPr>
        <w:pStyle w:val="FootnoteText"/>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00572E01" w:rsidRPr="00E809DB">
        <w:rPr>
          <w:rFonts w:ascii="Garamond" w:hAnsi="Garamond"/>
        </w:rPr>
        <w:instrText>ADDIN CSL_CITATION {"citationItems":[{"id":"ITEM-1","itemData":{"author":[{"dropping-particle":"","family":"Cutrona, C.E","given":"et al.","non-dropping-particle":"","parse-names":false,"suffix":""}],"container-title":"Journal of Personality and Social Psychology","id":"ITEM-1","issued":{"date-parts":[["66"]]},"title":"Peceived parental social support and academic achievement: an attachment theory perspective","type":"article-journal","volume":"2"},"uris":["http://www.mendeley.com/documents/?uuid=719f9013-2545-4e44-a834-8d0cb50c168c"]}],"mendeley":{"formattedCitation":"Cutrona, C.E, “Peceived Parental Social Support and Academic Achievement: An Attachment Theory Perspective.”","plainTextFormattedCitation":"Cutrona, C.E, “Peceived Parental Social Support and Academic Achievement: An Attachment Theory Perspective.”","previouslyFormattedCitation":"Cutrona, C.E, “Peceived Parental Social Support and Academic Achievement: An Attachment Theory Perspective.”"},"properties":{"noteIndex":11},"schema":"https://github.com/citation-style-language/schema/raw/master/csl-citation.json"}</w:instrText>
      </w:r>
      <w:r w:rsidRPr="00E809DB">
        <w:rPr>
          <w:rFonts w:ascii="Garamond" w:hAnsi="Garamond"/>
        </w:rPr>
        <w:fldChar w:fldCharType="separate"/>
      </w:r>
      <w:r w:rsidRPr="00E809DB">
        <w:rPr>
          <w:rFonts w:ascii="Garamond" w:hAnsi="Garamond"/>
          <w:noProof/>
        </w:rPr>
        <w:t>Cutrona, C.E, “Peceived Parental Social Support and Academic Achievement: An Attachment Theory Perspective.”</w:t>
      </w:r>
      <w:r w:rsidRPr="00E809DB">
        <w:rPr>
          <w:rFonts w:ascii="Garamond" w:hAnsi="Garamond"/>
        </w:rPr>
        <w:fldChar w:fldCharType="end"/>
      </w:r>
    </w:p>
  </w:footnote>
  <w:footnote w:id="12">
    <w:p w:rsidR="006D47AA" w:rsidRPr="00E809DB" w:rsidRDefault="006D47AA" w:rsidP="006D47AA">
      <w:pPr>
        <w:pStyle w:val="FootnoteText"/>
        <w:rPr>
          <w:rFonts w:ascii="Garamond" w:hAnsi="Garamond"/>
          <w:lang w:val="en-US"/>
        </w:rPr>
      </w:pPr>
      <w:r w:rsidRPr="00E809DB">
        <w:rPr>
          <w:rStyle w:val="FootnoteReference"/>
          <w:rFonts w:ascii="Garamond" w:hAnsi="Garamond"/>
        </w:rPr>
        <w:footnoteRef/>
      </w:r>
      <w:r w:rsidRPr="00E809DB">
        <w:rPr>
          <w:rFonts w:ascii="Garamond" w:hAnsi="Garamond"/>
        </w:rPr>
        <w:t xml:space="preserve"> </w:t>
      </w:r>
      <w:r w:rsidRPr="00E809DB">
        <w:rPr>
          <w:rFonts w:ascii="Garamond" w:hAnsi="Garamond"/>
        </w:rPr>
        <w:fldChar w:fldCharType="begin" w:fldLock="1"/>
      </w:r>
      <w:r w:rsidR="00572E01" w:rsidRPr="00E809DB">
        <w:rPr>
          <w:rFonts w:ascii="Garamond" w:hAnsi="Garamond"/>
        </w:rPr>
        <w:instrText>ADDIN CSL_CITATION {"citationItems":[{"id":"ITEM-1","itemData":{"author":[{"dropping-particle":"","family":"Hobfoll","given":"S.E.","non-dropping-particle":"","parse-names":false,"suffix":""}],"id":"ITEM-1","issued":{"date-parts":[["1986"]]},"publisher":"Herpe &amp; Row","publisher-place":"New York","title":"Stress, social support and women: the series in clinical and community psychology","type":"book"},"uris":["http://www.mendeley.com/documents/?uuid=990fed2f-f4f6-4427-add6-460a81d8c4c1"]}],"mendeley":{"formattedCitation":"S.E. Hobfoll, &lt;i&gt;Stress, Social Support and Women: The Series in Clinical and Community Psychology&lt;/i&gt; (New York: Herpe &amp; Row, 1986).","plainTextFormattedCitation":"S.E. Hobfoll, Stress, Social Support and Women: The Series in Clinical and Community Psychology (New York: Herpe &amp; Row, 1986).","previouslyFormattedCitation":"S.E. Hobfoll, &lt;i&gt;Stress, Social Support and Women: The Series in Clinical and Community Psychology&lt;/i&gt; (New York: Herpe &amp; Row, 1986)."},"properties":{"noteIndex":12},"schema":"https://github.com/citation-style-language/schema/raw/master/csl-citation.json"}</w:instrText>
      </w:r>
      <w:r w:rsidRPr="00E809DB">
        <w:rPr>
          <w:rFonts w:ascii="Garamond" w:hAnsi="Garamond"/>
        </w:rPr>
        <w:fldChar w:fldCharType="separate"/>
      </w:r>
      <w:r w:rsidRPr="00E809DB">
        <w:rPr>
          <w:rFonts w:ascii="Garamond" w:hAnsi="Garamond"/>
          <w:noProof/>
        </w:rPr>
        <w:t xml:space="preserve">S.E. Hobfoll, </w:t>
      </w:r>
      <w:r w:rsidRPr="00E809DB">
        <w:rPr>
          <w:rFonts w:ascii="Garamond" w:hAnsi="Garamond"/>
          <w:i/>
          <w:noProof/>
        </w:rPr>
        <w:t>Stress, Social Support and Women: The Series in Clinical and Community Psychology</w:t>
      </w:r>
      <w:r w:rsidRPr="00E809DB">
        <w:rPr>
          <w:rFonts w:ascii="Garamond" w:hAnsi="Garamond"/>
          <w:noProof/>
        </w:rPr>
        <w:t xml:space="preserve"> (New York: Herpe &amp; Row, 1986).</w:t>
      </w:r>
      <w:r w:rsidRPr="00E809DB">
        <w:rPr>
          <w:rFonts w:ascii="Garamond" w:hAnsi="Garamond"/>
        </w:rPr>
        <w:fldChar w:fldCharType="end"/>
      </w:r>
    </w:p>
  </w:footnote>
  <w:footnote w:id="13">
    <w:p w:rsidR="006D47AA" w:rsidRPr="00416EF7" w:rsidRDefault="006D47AA" w:rsidP="006D47AA">
      <w:pPr>
        <w:pStyle w:val="FootnoteText"/>
        <w:rPr>
          <w:rFonts w:ascii="Garamond" w:hAnsi="Garamond"/>
          <w:lang w:val="en-US"/>
        </w:rPr>
      </w:pPr>
      <w:r w:rsidRPr="00416EF7">
        <w:rPr>
          <w:rStyle w:val="FootnoteReference"/>
          <w:rFonts w:ascii="Garamond" w:hAnsi="Garamond"/>
        </w:rPr>
        <w:footnoteRef/>
      </w:r>
      <w:r w:rsidRPr="00416EF7">
        <w:rPr>
          <w:rFonts w:ascii="Garamond" w:hAnsi="Garamond"/>
        </w:rPr>
        <w:t xml:space="preserve"> </w:t>
      </w:r>
      <w:r w:rsidRPr="00416EF7">
        <w:rPr>
          <w:rFonts w:ascii="Garamond" w:hAnsi="Garamond"/>
        </w:rPr>
        <w:fldChar w:fldCharType="begin" w:fldLock="1"/>
      </w:r>
      <w:r w:rsidR="00572E01">
        <w:rPr>
          <w:rFonts w:ascii="Garamond" w:hAnsi="Garamond"/>
        </w:rPr>
        <w:instrText>ADDIN CSL_CITATION {"citationItems":[{"id":"ITEM-1","itemData":{"author":[{"dropping-particle":"","family":"Baron, Robert A., &amp; Byrne","given":"Donn","non-dropping-particle":"","parse-names":false,"suffix":""}],"id":"ITEM-1","issued":{"date-parts":[["2005"]]},"publisher":"Erlangga","publisher-place":"Jakarta","title":"Psikologi Sosial","type":"book"},"uris":["http://www.mendeley.com/documents/?uuid=58a4df3e-c285-4904-bf9e-ae021870a869"]}],"mendeley":{"formattedCitation":"Donn Baron, Robert A., &amp; Byrne, &lt;i&gt;Psikologi Sosial&lt;/i&gt; (Jakarta: Erlangga, 2005).","manualFormatting":"Donn Baron, Robert A., &amp; Byrne, Social Psychology (Jakarta: Erlangga, 2005).","plainTextFormattedCitation":"Donn Baron, Robert A., &amp; Byrne, Psikologi Sosial (Jakarta: Erlangga, 2005).","previouslyFormattedCitation":"Donn Baron, Robert A., &amp; Byrne, &lt;i&gt;Psikologi Sosial&lt;/i&gt; (Jakarta: Erlangga, 2005)."},"properties":{"noteIndex":13},"schema":"https://github.com/citation-style-language/schema/raw/master/csl-citation.json"}</w:instrText>
      </w:r>
      <w:r w:rsidRPr="00416EF7">
        <w:rPr>
          <w:rFonts w:ascii="Garamond" w:hAnsi="Garamond"/>
        </w:rPr>
        <w:fldChar w:fldCharType="separate"/>
      </w:r>
      <w:r w:rsidRPr="00416EF7">
        <w:rPr>
          <w:rFonts w:ascii="Garamond" w:hAnsi="Garamond"/>
          <w:noProof/>
        </w:rPr>
        <w:t xml:space="preserve">Donn Baron, Robert A., &amp; Byrne, </w:t>
      </w:r>
      <w:r w:rsidRPr="00416EF7">
        <w:rPr>
          <w:rFonts w:ascii="Garamond" w:hAnsi="Garamond"/>
          <w:i/>
          <w:noProof/>
        </w:rPr>
        <w:t xml:space="preserve">Social Psychology </w:t>
      </w:r>
      <w:r w:rsidRPr="00416EF7">
        <w:rPr>
          <w:rFonts w:ascii="Garamond" w:hAnsi="Garamond"/>
          <w:noProof/>
        </w:rPr>
        <w:t>(Jakarta: Erlangga, 2005).</w:t>
      </w:r>
      <w:r w:rsidRPr="00416EF7">
        <w:rPr>
          <w:rFonts w:ascii="Garamond" w:hAnsi="Garamond"/>
        </w:rPr>
        <w:fldChar w:fldCharType="end"/>
      </w:r>
    </w:p>
  </w:footnote>
  <w:footnote w:id="14">
    <w:p w:rsidR="006D47AA" w:rsidRPr="00416EF7" w:rsidRDefault="006D47AA" w:rsidP="006D47AA">
      <w:pPr>
        <w:pStyle w:val="FootnoteText"/>
        <w:rPr>
          <w:lang w:val="en-US"/>
        </w:rPr>
      </w:pPr>
      <w:r w:rsidRPr="00416EF7">
        <w:rPr>
          <w:rStyle w:val="FootnoteReference"/>
          <w:rFonts w:ascii="Garamond" w:hAnsi="Garamond"/>
        </w:rPr>
        <w:footnoteRef/>
      </w:r>
      <w:r w:rsidRPr="00416EF7">
        <w:rPr>
          <w:rFonts w:ascii="Garamond" w:hAnsi="Garamond"/>
        </w:rPr>
        <w:t xml:space="preserve"> </w:t>
      </w:r>
      <w:r w:rsidRPr="00416EF7">
        <w:rPr>
          <w:rFonts w:ascii="Garamond" w:hAnsi="Garamond"/>
        </w:rPr>
        <w:fldChar w:fldCharType="begin" w:fldLock="1"/>
      </w:r>
      <w:r w:rsidR="00572E01">
        <w:rPr>
          <w:rFonts w:ascii="Garamond" w:hAnsi="Garamond"/>
        </w:rPr>
        <w:instrText>ADDIN CSL_CITATION {"citationItems":[{"id":"ITEM-1","itemData":{"author":[{"dropping-particle":"","family":"Sarafino, E.","given":"P","non-dropping-particle":"","parse-names":false,"suffix":""}],"id":"ITEM-1","issued":{"date-parts":[["2011"]]},"publisher":"John Wiley &amp; Sons, Inc.","publisher-place":"New York","title":"Health Psychology: Biopsychosocial Interaction","type":"book"},"uris":["http://www.mendeley.com/documents/?uuid=b5a98054-2bdf-4ee4-b7cb-a1d9d6772425"]}],"mendeley":{"formattedCitation":"Sarafino, E., &lt;i&gt;Health Psychology: Biopsychosocial Interaction&lt;/i&gt;.","plainTextFormattedCitation":"Sarafino, E., Health Psychology: Biopsychosocial Interaction.","previouslyFormattedCitation":"P Sarafino, E., &lt;i&gt;Health Psychology: Biopsychosocial Interaction&lt;/i&gt; (New York: John Wiley &amp; Sons, Inc., 2011)."},"properties":{"noteIndex":14},"schema":"https://github.com/citation-style-language/schema/raw/master/csl-citation.json"}</w:instrText>
      </w:r>
      <w:r w:rsidRPr="00416EF7">
        <w:rPr>
          <w:rFonts w:ascii="Garamond" w:hAnsi="Garamond"/>
        </w:rPr>
        <w:fldChar w:fldCharType="separate"/>
      </w:r>
      <w:r w:rsidR="00572E01" w:rsidRPr="00572E01">
        <w:rPr>
          <w:rFonts w:ascii="Garamond" w:hAnsi="Garamond"/>
          <w:noProof/>
        </w:rPr>
        <w:t xml:space="preserve">Sarafino, E., </w:t>
      </w:r>
      <w:r w:rsidR="00572E01" w:rsidRPr="00572E01">
        <w:rPr>
          <w:rFonts w:ascii="Garamond" w:hAnsi="Garamond"/>
          <w:i/>
          <w:noProof/>
        </w:rPr>
        <w:t>Health Psychology: Biopsychosocial Interaction</w:t>
      </w:r>
      <w:r w:rsidR="00572E01" w:rsidRPr="00572E01">
        <w:rPr>
          <w:rFonts w:ascii="Garamond" w:hAnsi="Garamond"/>
          <w:noProof/>
        </w:rPr>
        <w:t>.</w:t>
      </w:r>
      <w:r w:rsidRPr="00416EF7">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AA" w:rsidRPr="007B1A08" w:rsidRDefault="0005084C" w:rsidP="00CF6C00">
    <w:pPr>
      <w:pStyle w:val="Footer"/>
      <w:rPr>
        <w:rFonts w:ascii="Book Antiqua" w:hAnsi="Book Antiqua"/>
        <w:i/>
        <w:iCs/>
      </w:rPr>
    </w:pPr>
    <w:r>
      <w:rPr>
        <w:rFonts w:ascii="Book Antiqua" w:hAnsi="Book Antiqua"/>
        <w:i/>
        <w:iCs/>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2056" type="#_x0000_t75" style="position:absolute;left:0;text-align:left;margin-left:0;margin-top:0;width:453.55pt;height:417.35pt;z-index:-251650048;mso-position-horizontal:center;mso-position-horizontal-relative:margin;mso-position-vertical:center;mso-position-vertical-relative:margin" o:allowincell="f">
          <v:imagedata r:id="rId1" o:title="Logo Jurnal Educative"/>
          <w10:wrap anchorx="margin" anchory="margin"/>
        </v:shape>
      </w:pict>
    </w:r>
    <w:r w:rsidR="006D47AA">
      <w:rPr>
        <w:rFonts w:ascii="Book Antiqua" w:hAnsi="Book Antiqua"/>
        <w:i/>
        <w:iCs/>
        <w:noProof/>
        <w:lang w:val="en-US"/>
      </w:rPr>
      <w:drawing>
        <wp:inline distT="0" distB="0" distL="0" distR="0" wp14:anchorId="1D1115E8" wp14:editId="33821EE7">
          <wp:extent cx="276860" cy="281940"/>
          <wp:effectExtent l="0" t="0" r="889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81940"/>
                  </a:xfrm>
                  <a:prstGeom prst="rect">
                    <a:avLst/>
                  </a:prstGeom>
                  <a:noFill/>
                </pic:spPr>
              </pic:pic>
            </a:graphicData>
          </a:graphic>
        </wp:inline>
      </w:drawing>
    </w:r>
    <w:r w:rsidR="006D47AA">
      <w:rPr>
        <w:rFonts w:ascii="Book Antiqua" w:hAnsi="Book Antiqua"/>
        <w:i/>
        <w:iCs/>
        <w:lang w:val="id-ID"/>
      </w:rPr>
      <w:t xml:space="preserve">I </w:t>
    </w:r>
    <w:r w:rsidR="006D47AA">
      <w:rPr>
        <w:rFonts w:ascii="Book Antiqua" w:hAnsi="Book Antiqua"/>
        <w:i/>
        <w:iCs/>
      </w:rPr>
      <w:t>SLAM RELITAS: Journal of Islamic &amp; Social Studies</w:t>
    </w:r>
    <w:r w:rsidR="006D47AA">
      <w:t xml:space="preserve"> </w:t>
    </w:r>
    <w:r w:rsidR="006D47AA">
      <w:rPr>
        <w:lang w:val="id-ID"/>
      </w:rPr>
      <w:t xml:space="preserve">                    </w:t>
    </w:r>
    <w:r w:rsidR="006D47AA">
      <w:rPr>
        <w:rFonts w:ascii="Book Antiqua" w:hAnsi="Book Antiqua"/>
        <w:i/>
        <w:iCs/>
        <w:lang w:val="id-ID"/>
      </w:rPr>
      <w:t xml:space="preserve">Vol… , No…, </w:t>
    </w:r>
    <w:r w:rsidR="006D47AA">
      <w:rPr>
        <w:rFonts w:ascii="Book Antiqua" w:hAnsi="Book Antiqua"/>
        <w:i/>
        <w:iCs/>
      </w:rPr>
      <w:t>Month and Year of Publication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AA" w:rsidRDefault="006D47AA" w:rsidP="005951BD">
    <w:pPr>
      <w:pStyle w:val="Footer"/>
      <w:rPr>
        <w:rFonts w:ascii="Book Antiqua" w:hAnsi="Book Antiqua"/>
        <w:i/>
        <w:iCs/>
      </w:rPr>
    </w:pPr>
    <w:r>
      <w:rPr>
        <w:noProof/>
        <w:lang w:val="en-US"/>
      </w:rPr>
      <w:drawing>
        <wp:anchor distT="0" distB="0" distL="114300" distR="114300" simplePos="0" relativeHeight="251668480" behindDoc="0" locked="0" layoutInCell="1" allowOverlap="1" wp14:anchorId="21E8518C" wp14:editId="688D223A">
          <wp:simplePos x="0" y="0"/>
          <wp:positionH relativeFrom="column">
            <wp:posOffset>635</wp:posOffset>
          </wp:positionH>
          <wp:positionV relativeFrom="paragraph">
            <wp:posOffset>-55880</wp:posOffset>
          </wp:positionV>
          <wp:extent cx="285115" cy="262890"/>
          <wp:effectExtent l="0" t="0" r="635" b="3810"/>
          <wp:wrapNone/>
          <wp:docPr id="46" name="Picture 46" descr="Logo Jurnal Educ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 Jurnal Educati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115" cy="262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4C">
      <w:rPr>
        <w:rFonts w:ascii="Book Antiqua" w:hAnsi="Book Antiqua"/>
        <w:i/>
        <w:iCs/>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4" o:spid="_x0000_s2057" type="#_x0000_t75" style="position:absolute;left:0;text-align:left;margin-left:0;margin-top:0;width:453.55pt;height:417.35pt;z-index:-251649024;mso-position-horizontal:center;mso-position-horizontal-relative:margin;mso-position-vertical:center;mso-position-vertical-relative:margin" o:allowincell="f">
          <v:imagedata r:id="rId2" o:title="Logo Jurnal Educative"/>
          <w10:wrap anchorx="margin" anchory="margin"/>
        </v:shape>
      </w:pict>
    </w:r>
    <w:r>
      <w:rPr>
        <w:rFonts w:ascii="Book Antiqua" w:hAnsi="Book Antiqua"/>
        <w:i/>
        <w:iCs/>
        <w:lang w:val="id-ID"/>
      </w:rPr>
      <w:t xml:space="preserve">EDUCATIVE JOURNAL </w:t>
    </w:r>
    <w:r>
      <w:rPr>
        <w:rFonts w:ascii="Book Antiqua" w:hAnsi="Book Antiqua"/>
        <w:i/>
        <w:iCs/>
      </w:rPr>
      <w:t>: Journal of Educational Studies</w:t>
    </w:r>
    <w:r>
      <w:rPr>
        <w:rFonts w:ascii="Book Antiqua" w:hAnsi="Book Antiqua"/>
        <w:i/>
        <w:iCs/>
        <w:lang w:val="id-ID"/>
      </w:rPr>
      <w:t xml:space="preserve">        </w:t>
    </w:r>
    <w:r>
      <w:t xml:space="preserve"> </w:t>
    </w:r>
    <w:r>
      <w:rPr>
        <w:lang w:val="id-ID"/>
      </w:rPr>
      <w:t xml:space="preserve">        </w:t>
    </w:r>
    <w:r>
      <w:rPr>
        <w:rFonts w:ascii="Book Antiqua" w:hAnsi="Book Antiqua"/>
        <w:i/>
        <w:iCs/>
        <w:lang w:val="id-ID"/>
      </w:rPr>
      <w:t xml:space="preserve">Vol…, No… </w:t>
    </w:r>
    <w:r>
      <w:rPr>
        <w:rFonts w:ascii="Book Antiqua" w:hAnsi="Book Antiqua"/>
        <w:i/>
        <w:iCs/>
      </w:rPr>
      <w:t xml:space="preserve">. </w:t>
    </w:r>
    <w:r>
      <w:rPr>
        <w:rFonts w:ascii="Book Antiqua" w:hAnsi="Book Antiqua"/>
        <w:i/>
        <w:iCs/>
        <w:lang w:val="id-ID"/>
      </w:rPr>
      <w:t xml:space="preserve">, </w:t>
    </w:r>
    <w:r>
      <w:rPr>
        <w:rFonts w:ascii="Book Antiqua" w:hAnsi="Book Antiqua"/>
        <w:i/>
        <w:iCs/>
      </w:rPr>
      <w:t>Month and Year</w:t>
    </w:r>
    <w:r>
      <w:rPr>
        <w:rFonts w:ascii="Book Antiqua" w:hAnsi="Book Antiqua"/>
        <w:i/>
        <w:iCs/>
        <w:lang w:val="id-ID"/>
      </w:rPr>
      <w:t xml:space="preserve"> </w:t>
    </w:r>
    <w:r>
      <w:rPr>
        <w:rFonts w:ascii="Book Antiqua" w:hAnsi="Book Antiqua"/>
        <w:i/>
        <w:iCs/>
      </w:rPr>
      <w:t>Rise</w:t>
    </w:r>
  </w:p>
  <w:p w:rsidR="006D47AA" w:rsidRPr="003B67B6" w:rsidRDefault="006D47AA" w:rsidP="005951BD">
    <w:pPr>
      <w:pStyle w:val="Footer"/>
      <w:rPr>
        <w:rFonts w:ascii="Book Antiqua" w:hAnsi="Book Antiqua"/>
        <w:i/>
        <w:iCs/>
      </w:rPr>
    </w:pPr>
  </w:p>
  <w:p w:rsidR="006D47AA" w:rsidRDefault="006D47AA" w:rsidP="00CF6C00">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AA" w:rsidRDefault="0005084C">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2055" type="#_x0000_t75" style="position:absolute;left:0;text-align:left;margin-left:0;margin-top:0;width:453.55pt;height:417.35pt;z-index:-251651072;mso-position-horizontal:center;mso-position-horizontal-relative:margin;mso-position-vertical:center;mso-position-vertical-relative:margin" o:allowincell="f">
          <v:imagedata r:id="rId1" o:title="Logo Jurnal Educative"/>
          <w10:wrap anchorx="margin" anchory="margin"/>
        </v:shape>
      </w:pict>
    </w:r>
    <w:r>
      <w:rPr>
        <w:noProof/>
        <w:lang w:val="id-ID" w:eastAsia="id-ID"/>
      </w:rPr>
      <w:pict>
        <v:shape id="WordPictureWatermark87253250" o:spid="_x0000_s2054" type="#_x0000_t75" style="position:absolute;left:0;text-align:left;margin-left:0;margin-top:0;width:453.55pt;height:417.35pt;z-index:-251652096;mso-position-horizontal:center;mso-position-horizontal-relative:margin;mso-position-vertical:center;mso-position-vertical-relative:margin" o:allowincell="f">
          <v:imagedata r:id="rId2" o:title="Logo Jurnal Educative"/>
          <w10:wrap anchorx="margin" anchory="margin"/>
        </v:shape>
      </w:pict>
    </w:r>
    <w:r>
      <w:rPr>
        <w:noProof/>
        <w:lang w:val="id-ID" w:eastAsia="id-ID"/>
      </w:rPr>
      <w:pict>
        <v:shape id="WordPictureWatermark87148578" o:spid="_x0000_s2053" type="#_x0000_t75" style="position:absolute;left:0;text-align:left;margin-left:0;margin-top:0;width:453.55pt;height:417.35pt;z-index:-251653120;mso-position-horizontal:center;mso-position-horizontal-relative:margin;mso-position-vertical:center;mso-position-vertical-relative:margin" o:allowincell="f">
          <v:imagedata r:id="rId2" o:title="Logo Jurnal Educative"/>
          <w10:wrap anchorx="margin" anchory="margin"/>
        </v:shape>
      </w:pict>
    </w:r>
    <w:r>
      <w:rPr>
        <w:noProof/>
        <w:lang w:val="id-ID" w:eastAsia="id-ID"/>
      </w:rPr>
      <w:pict>
        <v:shape id="WordPictureWatermark87044859" o:spid="_x0000_s2052" type="#_x0000_t75" style="position:absolute;left:0;text-align:left;margin-left:0;margin-top:0;width:453.55pt;height:418.3pt;z-index:-251654144;mso-position-horizontal:center;mso-position-horizontal-relative:margin;mso-position-vertical:center;mso-position-vertical-relative:margin" o:allowincell="f">
          <v:imagedata r:id="rId3" o:title="Logo Jurnal Educative"/>
          <w10:wrap anchorx="margin" anchory="margin"/>
        </v:shape>
      </w:pict>
    </w:r>
    <w:r>
      <w:rPr>
        <w:noProof/>
        <w:lang w:val="id-ID" w:eastAsia="id-ID"/>
      </w:rPr>
      <w:pict>
        <v:shape id="WordPictureWatermark3221514" o:spid="_x0000_s2051" type="#_x0000_t75" style="position:absolute;left:0;text-align:left;margin-left:0;margin-top:0;width:453.6pt;height:442.8pt;z-index:-251655168;mso-position-horizontal:center;mso-position-horizontal-relative:margin;mso-position-vertical:center;mso-position-vertical-relative:margin" o:allowincell="f">
          <v:imagedata r:id="rId4" o:title="Islam Realitas HP"/>
          <w10:wrap anchorx="margin" anchory="margin"/>
        </v:shape>
      </w:pict>
    </w:r>
    <w:r>
      <w:rPr>
        <w:noProof/>
        <w:lang w:val="id-ID" w:eastAsia="id-ID"/>
      </w:rPr>
      <w:pict>
        <v:shape id="WordPictureWatermark3061706" o:spid="_x0000_s2050" type="#_x0000_t75" style="position:absolute;left:0;text-align:left;margin-left:0;margin-top:0;width:453.6pt;height:442.8pt;z-index:-251656192;mso-position-horizontal:center;mso-position-horizontal-relative:margin;mso-position-vertical:center;mso-position-vertical-relative:margin" o:allowincell="f">
          <v:imagedata r:id="rId4" o:title="Islam Realitas HP"/>
          <w10:wrap anchorx="margin" anchory="margin"/>
        </v:shape>
      </w:pict>
    </w:r>
    <w:r>
      <w:rPr>
        <w:noProof/>
        <w:lang w:val="id-ID" w:eastAsia="id-ID"/>
      </w:rPr>
      <w:pict>
        <v:shape id="WordPictureWatermark2910697" o:spid="_x0000_s2049" type="#_x0000_t75" style="position:absolute;left:0;text-align:left;margin-left:0;margin-top:0;width:453.6pt;height:442.8pt;z-index:-251657216;mso-position-horizontal:center;mso-position-horizontal-relative:margin;mso-position-vertical:center;mso-position-vertical-relative:margin" o:allowincell="f">
          <v:imagedata r:id="rId5" o:title="Islam Realitas H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3022C"/>
    <w:multiLevelType w:val="hybridMultilevel"/>
    <w:tmpl w:val="2798415C"/>
    <w:lvl w:ilvl="0" w:tplc="ECE6D258">
      <w:start w:val="1"/>
      <w:numFmt w:val="upperLetter"/>
      <w:lvlText w:val="%1."/>
      <w:lvlJc w:val="left"/>
      <w:pPr>
        <w:ind w:left="927" w:hanging="360"/>
      </w:pPr>
      <w:rPr>
        <w:rFonts w:ascii="Garamond" w:eastAsia="SimSun" w:hAnsi="Garamond" w:cs="Times New Roman"/>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6E03AA1"/>
    <w:multiLevelType w:val="hybridMultilevel"/>
    <w:tmpl w:val="C77A16CE"/>
    <w:lvl w:ilvl="0" w:tplc="0E0C3362">
      <w:start w:val="2"/>
      <w:numFmt w:val="upperLetter"/>
      <w:lvlText w:val="%1."/>
      <w:lvlJc w:val="left"/>
      <w:pPr>
        <w:ind w:left="927" w:hanging="360"/>
      </w:pPr>
      <w:rPr>
        <w:rFonts w:ascii="Garamond" w:eastAsia="SimSun" w:hAnsi="Garamond"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5F6152"/>
    <w:multiLevelType w:val="hybridMultilevel"/>
    <w:tmpl w:val="0B88C532"/>
    <w:lvl w:ilvl="0" w:tplc="0AC68B4A">
      <w:start w:val="1"/>
      <w:numFmt w:val="decimal"/>
      <w:lvlText w:val="%1."/>
      <w:lvlJc w:val="left"/>
      <w:pPr>
        <w:ind w:left="1647" w:hanging="360"/>
      </w:pPr>
      <w:rPr>
        <w:rFonts w:hint="default"/>
        <w:color w:val="00000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670453CA"/>
    <w:multiLevelType w:val="hybridMultilevel"/>
    <w:tmpl w:val="5FA6C210"/>
    <w:lvl w:ilvl="0" w:tplc="BDBC6238">
      <w:start w:val="1"/>
      <w:numFmt w:val="decimal"/>
      <w:lvlText w:val="%1."/>
      <w:lvlJc w:val="left"/>
      <w:pPr>
        <w:ind w:left="1647" w:hanging="360"/>
      </w:pPr>
      <w:rPr>
        <w:rFonts w:hint="default"/>
        <w:color w:val="00000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7C6863A6"/>
    <w:multiLevelType w:val="hybridMultilevel"/>
    <w:tmpl w:val="8A1025BA"/>
    <w:lvl w:ilvl="0" w:tplc="75D624D6">
      <w:start w:val="1"/>
      <w:numFmt w:val="decimal"/>
      <w:lvlText w:val="%1."/>
      <w:lvlJc w:val="left"/>
      <w:pPr>
        <w:ind w:left="1287" w:hanging="360"/>
      </w:pPr>
      <w:rPr>
        <w:rFonts w:hint="default"/>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7AA"/>
    <w:rsid w:val="0005084C"/>
    <w:rsid w:val="0033578C"/>
    <w:rsid w:val="005344F8"/>
    <w:rsid w:val="00572E01"/>
    <w:rsid w:val="006D47AA"/>
    <w:rsid w:val="007939DA"/>
    <w:rsid w:val="00C15EF4"/>
    <w:rsid w:val="00CC5F5A"/>
    <w:rsid w:val="00E809DB"/>
    <w:rsid w:val="00F0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AA"/>
    <w:pPr>
      <w:spacing w:after="0" w:line="240" w:lineRule="auto"/>
      <w:jc w:val="center"/>
    </w:pPr>
    <w:rPr>
      <w:rFonts w:ascii="Times New Roman" w:eastAsia="SimSun" w:hAnsi="Times New Roman" w:cs="Times New Roman"/>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rsid w:val="006D47AA"/>
    <w:pPr>
      <w:spacing w:after="0" w:line="240" w:lineRule="auto"/>
      <w:jc w:val="center"/>
    </w:pPr>
    <w:rPr>
      <w:rFonts w:ascii="Times New Roman" w:eastAsia="SimSun" w:hAnsi="Times New Roman" w:cs="Times New Roman"/>
      <w:sz w:val="20"/>
      <w:szCs w:val="20"/>
      <w:lang w:val="en"/>
    </w:rPr>
  </w:style>
  <w:style w:type="paragraph" w:styleId="BodyText">
    <w:name w:val="Body Text"/>
    <w:basedOn w:val="Normal"/>
    <w:link w:val="BodyTextChar"/>
    <w:rsid w:val="006D47AA"/>
    <w:pPr>
      <w:spacing w:line="360" w:lineRule="auto"/>
      <w:ind w:firstLine="289"/>
      <w:jc w:val="both"/>
    </w:pPr>
    <w:rPr>
      <w:spacing w:val="-1"/>
    </w:rPr>
  </w:style>
  <w:style w:type="character" w:customStyle="1" w:styleId="BodyTextChar">
    <w:name w:val="Body Text Char"/>
    <w:basedOn w:val="DefaultParagraphFont"/>
    <w:link w:val="BodyText"/>
    <w:rsid w:val="006D47AA"/>
    <w:rPr>
      <w:rFonts w:ascii="Times New Roman" w:eastAsia="SimSun" w:hAnsi="Times New Roman" w:cs="Times New Roman"/>
      <w:spacing w:val="-1"/>
      <w:sz w:val="20"/>
      <w:szCs w:val="20"/>
      <w:lang w:val="en"/>
    </w:rPr>
  </w:style>
  <w:style w:type="paragraph" w:styleId="Header">
    <w:name w:val="header"/>
    <w:basedOn w:val="Normal"/>
    <w:link w:val="HeaderChar"/>
    <w:rsid w:val="006D47AA"/>
    <w:pPr>
      <w:tabs>
        <w:tab w:val="center" w:pos="4513"/>
        <w:tab w:val="right" w:pos="9026"/>
      </w:tabs>
    </w:pPr>
  </w:style>
  <w:style w:type="character" w:customStyle="1" w:styleId="HeaderChar">
    <w:name w:val="Header Char"/>
    <w:basedOn w:val="DefaultParagraphFont"/>
    <w:link w:val="Header"/>
    <w:rsid w:val="006D47AA"/>
    <w:rPr>
      <w:rFonts w:ascii="Times New Roman" w:eastAsia="SimSun" w:hAnsi="Times New Roman" w:cs="Times New Roman"/>
      <w:sz w:val="20"/>
      <w:szCs w:val="20"/>
      <w:lang w:val="en"/>
    </w:rPr>
  </w:style>
  <w:style w:type="paragraph" w:styleId="Footer">
    <w:name w:val="footer"/>
    <w:basedOn w:val="Normal"/>
    <w:link w:val="FooterChar"/>
    <w:uiPriority w:val="99"/>
    <w:rsid w:val="006D47AA"/>
    <w:pPr>
      <w:tabs>
        <w:tab w:val="center" w:pos="4513"/>
        <w:tab w:val="right" w:pos="9026"/>
      </w:tabs>
    </w:pPr>
  </w:style>
  <w:style w:type="character" w:customStyle="1" w:styleId="FooterChar">
    <w:name w:val="Footer Char"/>
    <w:basedOn w:val="DefaultParagraphFont"/>
    <w:link w:val="Footer"/>
    <w:uiPriority w:val="99"/>
    <w:rsid w:val="006D47AA"/>
    <w:rPr>
      <w:rFonts w:ascii="Times New Roman" w:eastAsia="SimSun" w:hAnsi="Times New Roman" w:cs="Times New Roman"/>
      <w:sz w:val="20"/>
      <w:szCs w:val="20"/>
      <w:lang w:val="en"/>
    </w:rPr>
  </w:style>
  <w:style w:type="paragraph" w:customStyle="1" w:styleId="Stylepapertitle14pt">
    <w:name w:val="Style paper title + 14 pt"/>
    <w:basedOn w:val="Normal"/>
    <w:rsid w:val="006D47AA"/>
    <w:pPr>
      <w:spacing w:after="120"/>
    </w:pPr>
    <w:rPr>
      <w:rFonts w:eastAsia="MS Mincho"/>
      <w:noProof/>
      <w:sz w:val="24"/>
      <w:szCs w:val="48"/>
    </w:rPr>
  </w:style>
  <w:style w:type="paragraph" w:customStyle="1" w:styleId="StyleAuthorBold">
    <w:name w:val="Style Author + Bold"/>
    <w:basedOn w:val="Normal"/>
    <w:rsid w:val="006D47AA"/>
    <w:pPr>
      <w:spacing w:before="240" w:after="40"/>
    </w:pPr>
    <w:rPr>
      <w:b/>
      <w:bCs/>
      <w:noProof/>
      <w:sz w:val="22"/>
      <w:szCs w:val="22"/>
    </w:rPr>
  </w:style>
  <w:style w:type="paragraph" w:customStyle="1" w:styleId="Afiliasi">
    <w:name w:val="Afiliasi"/>
    <w:basedOn w:val="Normal"/>
    <w:qFormat/>
    <w:rsid w:val="006D47AA"/>
    <w:pPr>
      <w:spacing w:before="40" w:after="40"/>
      <w:contextualSpacing/>
    </w:pPr>
    <w:rPr>
      <w:noProof/>
    </w:rPr>
  </w:style>
  <w:style w:type="paragraph" w:customStyle="1" w:styleId="abstrak">
    <w:name w:val="abstrak"/>
    <w:basedOn w:val="BodyText"/>
    <w:qFormat/>
    <w:rsid w:val="006D47AA"/>
    <w:pPr>
      <w:spacing w:line="240" w:lineRule="auto"/>
      <w:ind w:left="567" w:right="567" w:firstLine="0"/>
    </w:pPr>
    <w:rPr>
      <w:szCs w:val="24"/>
    </w:rPr>
  </w:style>
  <w:style w:type="character" w:styleId="Hyperlink">
    <w:name w:val="Hyperlink"/>
    <w:uiPriority w:val="99"/>
    <w:unhideWhenUsed/>
    <w:rsid w:val="006D47AA"/>
    <w:rPr>
      <w:color w:val="0000FF"/>
      <w:u w:val="single"/>
    </w:rPr>
  </w:style>
  <w:style w:type="paragraph" w:styleId="FootnoteText">
    <w:name w:val="footnote text"/>
    <w:basedOn w:val="Normal"/>
    <w:link w:val="FootnoteTextChar"/>
    <w:uiPriority w:val="99"/>
    <w:unhideWhenUsed/>
    <w:rsid w:val="006D47AA"/>
    <w:pPr>
      <w:jc w:val="left"/>
    </w:pPr>
    <w:rPr>
      <w:rFonts w:ascii="Calibri" w:eastAsia="Times New Roman" w:hAnsi="Calibri"/>
      <w:lang w:eastAsia="x-none"/>
    </w:rPr>
  </w:style>
  <w:style w:type="character" w:customStyle="1" w:styleId="FootnoteTextChar">
    <w:name w:val="Footnote Text Char"/>
    <w:basedOn w:val="DefaultParagraphFont"/>
    <w:link w:val="FootnoteText"/>
    <w:uiPriority w:val="99"/>
    <w:rsid w:val="006D47AA"/>
    <w:rPr>
      <w:rFonts w:ascii="Calibri" w:eastAsia="Times New Roman" w:hAnsi="Calibri" w:cs="Times New Roman"/>
      <w:sz w:val="20"/>
      <w:szCs w:val="20"/>
      <w:lang w:val="en" w:eastAsia="x-none"/>
    </w:rPr>
  </w:style>
  <w:style w:type="character" w:styleId="FootnoteReference">
    <w:name w:val="footnote reference"/>
    <w:uiPriority w:val="99"/>
    <w:unhideWhenUsed/>
    <w:rsid w:val="006D47AA"/>
    <w:rPr>
      <w:rFonts w:cs="Times New Roman"/>
      <w:vertAlign w:val="superscript"/>
    </w:rPr>
  </w:style>
  <w:style w:type="paragraph" w:styleId="BalloonText">
    <w:name w:val="Balloon Text"/>
    <w:basedOn w:val="Normal"/>
    <w:link w:val="BalloonTextChar"/>
    <w:uiPriority w:val="99"/>
    <w:semiHidden/>
    <w:unhideWhenUsed/>
    <w:rsid w:val="006D47AA"/>
    <w:rPr>
      <w:rFonts w:ascii="Tahoma" w:hAnsi="Tahoma" w:cs="Tahoma"/>
      <w:sz w:val="16"/>
      <w:szCs w:val="16"/>
    </w:rPr>
  </w:style>
  <w:style w:type="character" w:customStyle="1" w:styleId="BalloonTextChar">
    <w:name w:val="Balloon Text Char"/>
    <w:basedOn w:val="DefaultParagraphFont"/>
    <w:link w:val="BalloonText"/>
    <w:uiPriority w:val="99"/>
    <w:semiHidden/>
    <w:rsid w:val="006D47AA"/>
    <w:rPr>
      <w:rFonts w:ascii="Tahoma" w:eastAsia="SimSun" w:hAnsi="Tahoma" w:cs="Tahoma"/>
      <w:sz w:val="16"/>
      <w:szCs w:val="16"/>
      <w:lang w:val="en"/>
    </w:rPr>
  </w:style>
  <w:style w:type="paragraph" w:styleId="ListParagraph">
    <w:name w:val="List Paragraph"/>
    <w:basedOn w:val="Normal"/>
    <w:uiPriority w:val="34"/>
    <w:qFormat/>
    <w:rsid w:val="006D47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AA"/>
    <w:pPr>
      <w:spacing w:after="0" w:line="240" w:lineRule="auto"/>
      <w:jc w:val="center"/>
    </w:pPr>
    <w:rPr>
      <w:rFonts w:ascii="Times New Roman" w:eastAsia="SimSun" w:hAnsi="Times New Roman" w:cs="Times New Roman"/>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rsid w:val="006D47AA"/>
    <w:pPr>
      <w:spacing w:after="0" w:line="240" w:lineRule="auto"/>
      <w:jc w:val="center"/>
    </w:pPr>
    <w:rPr>
      <w:rFonts w:ascii="Times New Roman" w:eastAsia="SimSun" w:hAnsi="Times New Roman" w:cs="Times New Roman"/>
      <w:sz w:val="20"/>
      <w:szCs w:val="20"/>
      <w:lang w:val="en"/>
    </w:rPr>
  </w:style>
  <w:style w:type="paragraph" w:styleId="BodyText">
    <w:name w:val="Body Text"/>
    <w:basedOn w:val="Normal"/>
    <w:link w:val="BodyTextChar"/>
    <w:rsid w:val="006D47AA"/>
    <w:pPr>
      <w:spacing w:line="360" w:lineRule="auto"/>
      <w:ind w:firstLine="289"/>
      <w:jc w:val="both"/>
    </w:pPr>
    <w:rPr>
      <w:spacing w:val="-1"/>
    </w:rPr>
  </w:style>
  <w:style w:type="character" w:customStyle="1" w:styleId="BodyTextChar">
    <w:name w:val="Body Text Char"/>
    <w:basedOn w:val="DefaultParagraphFont"/>
    <w:link w:val="BodyText"/>
    <w:rsid w:val="006D47AA"/>
    <w:rPr>
      <w:rFonts w:ascii="Times New Roman" w:eastAsia="SimSun" w:hAnsi="Times New Roman" w:cs="Times New Roman"/>
      <w:spacing w:val="-1"/>
      <w:sz w:val="20"/>
      <w:szCs w:val="20"/>
      <w:lang w:val="en"/>
    </w:rPr>
  </w:style>
  <w:style w:type="paragraph" w:styleId="Header">
    <w:name w:val="header"/>
    <w:basedOn w:val="Normal"/>
    <w:link w:val="HeaderChar"/>
    <w:rsid w:val="006D47AA"/>
    <w:pPr>
      <w:tabs>
        <w:tab w:val="center" w:pos="4513"/>
        <w:tab w:val="right" w:pos="9026"/>
      </w:tabs>
    </w:pPr>
  </w:style>
  <w:style w:type="character" w:customStyle="1" w:styleId="HeaderChar">
    <w:name w:val="Header Char"/>
    <w:basedOn w:val="DefaultParagraphFont"/>
    <w:link w:val="Header"/>
    <w:rsid w:val="006D47AA"/>
    <w:rPr>
      <w:rFonts w:ascii="Times New Roman" w:eastAsia="SimSun" w:hAnsi="Times New Roman" w:cs="Times New Roman"/>
      <w:sz w:val="20"/>
      <w:szCs w:val="20"/>
      <w:lang w:val="en"/>
    </w:rPr>
  </w:style>
  <w:style w:type="paragraph" w:styleId="Footer">
    <w:name w:val="footer"/>
    <w:basedOn w:val="Normal"/>
    <w:link w:val="FooterChar"/>
    <w:uiPriority w:val="99"/>
    <w:rsid w:val="006D47AA"/>
    <w:pPr>
      <w:tabs>
        <w:tab w:val="center" w:pos="4513"/>
        <w:tab w:val="right" w:pos="9026"/>
      </w:tabs>
    </w:pPr>
  </w:style>
  <w:style w:type="character" w:customStyle="1" w:styleId="FooterChar">
    <w:name w:val="Footer Char"/>
    <w:basedOn w:val="DefaultParagraphFont"/>
    <w:link w:val="Footer"/>
    <w:uiPriority w:val="99"/>
    <w:rsid w:val="006D47AA"/>
    <w:rPr>
      <w:rFonts w:ascii="Times New Roman" w:eastAsia="SimSun" w:hAnsi="Times New Roman" w:cs="Times New Roman"/>
      <w:sz w:val="20"/>
      <w:szCs w:val="20"/>
      <w:lang w:val="en"/>
    </w:rPr>
  </w:style>
  <w:style w:type="paragraph" w:customStyle="1" w:styleId="Stylepapertitle14pt">
    <w:name w:val="Style paper title + 14 pt"/>
    <w:basedOn w:val="Normal"/>
    <w:rsid w:val="006D47AA"/>
    <w:pPr>
      <w:spacing w:after="120"/>
    </w:pPr>
    <w:rPr>
      <w:rFonts w:eastAsia="MS Mincho"/>
      <w:noProof/>
      <w:sz w:val="24"/>
      <w:szCs w:val="48"/>
    </w:rPr>
  </w:style>
  <w:style w:type="paragraph" w:customStyle="1" w:styleId="StyleAuthorBold">
    <w:name w:val="Style Author + Bold"/>
    <w:basedOn w:val="Normal"/>
    <w:rsid w:val="006D47AA"/>
    <w:pPr>
      <w:spacing w:before="240" w:after="40"/>
    </w:pPr>
    <w:rPr>
      <w:b/>
      <w:bCs/>
      <w:noProof/>
      <w:sz w:val="22"/>
      <w:szCs w:val="22"/>
    </w:rPr>
  </w:style>
  <w:style w:type="paragraph" w:customStyle="1" w:styleId="Afiliasi">
    <w:name w:val="Afiliasi"/>
    <w:basedOn w:val="Normal"/>
    <w:qFormat/>
    <w:rsid w:val="006D47AA"/>
    <w:pPr>
      <w:spacing w:before="40" w:after="40"/>
      <w:contextualSpacing/>
    </w:pPr>
    <w:rPr>
      <w:noProof/>
    </w:rPr>
  </w:style>
  <w:style w:type="paragraph" w:customStyle="1" w:styleId="abstrak">
    <w:name w:val="abstrak"/>
    <w:basedOn w:val="BodyText"/>
    <w:qFormat/>
    <w:rsid w:val="006D47AA"/>
    <w:pPr>
      <w:spacing w:line="240" w:lineRule="auto"/>
      <w:ind w:left="567" w:right="567" w:firstLine="0"/>
    </w:pPr>
    <w:rPr>
      <w:szCs w:val="24"/>
    </w:rPr>
  </w:style>
  <w:style w:type="character" w:styleId="Hyperlink">
    <w:name w:val="Hyperlink"/>
    <w:uiPriority w:val="99"/>
    <w:unhideWhenUsed/>
    <w:rsid w:val="006D47AA"/>
    <w:rPr>
      <w:color w:val="0000FF"/>
      <w:u w:val="single"/>
    </w:rPr>
  </w:style>
  <w:style w:type="paragraph" w:styleId="FootnoteText">
    <w:name w:val="footnote text"/>
    <w:basedOn w:val="Normal"/>
    <w:link w:val="FootnoteTextChar"/>
    <w:uiPriority w:val="99"/>
    <w:unhideWhenUsed/>
    <w:rsid w:val="006D47AA"/>
    <w:pPr>
      <w:jc w:val="left"/>
    </w:pPr>
    <w:rPr>
      <w:rFonts w:ascii="Calibri" w:eastAsia="Times New Roman" w:hAnsi="Calibri"/>
      <w:lang w:eastAsia="x-none"/>
    </w:rPr>
  </w:style>
  <w:style w:type="character" w:customStyle="1" w:styleId="FootnoteTextChar">
    <w:name w:val="Footnote Text Char"/>
    <w:basedOn w:val="DefaultParagraphFont"/>
    <w:link w:val="FootnoteText"/>
    <w:uiPriority w:val="99"/>
    <w:rsid w:val="006D47AA"/>
    <w:rPr>
      <w:rFonts w:ascii="Calibri" w:eastAsia="Times New Roman" w:hAnsi="Calibri" w:cs="Times New Roman"/>
      <w:sz w:val="20"/>
      <w:szCs w:val="20"/>
      <w:lang w:val="en" w:eastAsia="x-none"/>
    </w:rPr>
  </w:style>
  <w:style w:type="character" w:styleId="FootnoteReference">
    <w:name w:val="footnote reference"/>
    <w:uiPriority w:val="99"/>
    <w:unhideWhenUsed/>
    <w:rsid w:val="006D47AA"/>
    <w:rPr>
      <w:rFonts w:cs="Times New Roman"/>
      <w:vertAlign w:val="superscript"/>
    </w:rPr>
  </w:style>
  <w:style w:type="paragraph" w:styleId="BalloonText">
    <w:name w:val="Balloon Text"/>
    <w:basedOn w:val="Normal"/>
    <w:link w:val="BalloonTextChar"/>
    <w:uiPriority w:val="99"/>
    <w:semiHidden/>
    <w:unhideWhenUsed/>
    <w:rsid w:val="006D47AA"/>
    <w:rPr>
      <w:rFonts w:ascii="Tahoma" w:hAnsi="Tahoma" w:cs="Tahoma"/>
      <w:sz w:val="16"/>
      <w:szCs w:val="16"/>
    </w:rPr>
  </w:style>
  <w:style w:type="character" w:customStyle="1" w:styleId="BalloonTextChar">
    <w:name w:val="Balloon Text Char"/>
    <w:basedOn w:val="DefaultParagraphFont"/>
    <w:link w:val="BalloonText"/>
    <w:uiPriority w:val="99"/>
    <w:semiHidden/>
    <w:rsid w:val="006D47AA"/>
    <w:rPr>
      <w:rFonts w:ascii="Tahoma" w:eastAsia="SimSun" w:hAnsi="Tahoma" w:cs="Tahoma"/>
      <w:sz w:val="16"/>
      <w:szCs w:val="16"/>
      <w:lang w:val="en"/>
    </w:rPr>
  </w:style>
  <w:style w:type="paragraph" w:styleId="ListParagraph">
    <w:name w:val="List Paragraph"/>
    <w:basedOn w:val="Normal"/>
    <w:uiPriority w:val="34"/>
    <w:qFormat/>
    <w:rsid w:val="006D4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30983/educative.v5i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afdal@konselor.org" TargetMode="External"/><Relationship Id="rId19" Type="http://schemas.openxmlformats.org/officeDocument/2006/relationships/hyperlink" Target="https://www.bps.go.id/indicator/6/1953/1/jumlah-dan-persentase-penduduk-bekerja-dan-pengangguran.html" TargetMode="External"/><Relationship Id="rId4" Type="http://schemas.microsoft.com/office/2007/relationships/stylesWithEffects" Target="stylesWithEffects.xml"/><Relationship Id="rId9" Type="http://schemas.openxmlformats.org/officeDocument/2006/relationships/hyperlink" Target="mailto:alfirahmi@iainbukittinggi.ac.id" TargetMode="External"/><Relationship Id="rId14" Type="http://schemas.openxmlformats.org/officeDocument/2006/relationships/header" Target="header1.xml"/><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3.jpeg"/><Relationship Id="rId5" Type="http://schemas.openxmlformats.org/officeDocument/2006/relationships/image" Target="media/image9.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03856-75A4-4681-8398-135B0A9A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2023-01-06T05:57:00Z</dcterms:created>
  <dcterms:modified xsi:type="dcterms:W3CDTF">2023-01-06T05:59:00Z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http://www.zotero.org/styles/turabian-fullnote-bibliography-no-ibid</vt:lpwstr>
  </property>
  <property fmtid="{D5CDD505-2E9C-101B-9397-08002B2CF9AE}" pid="4" name="Mendeley Unique User Id_1">
    <vt:lpwstr>f43c2df2-2295-3ceb-a68e-dce6905bb994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