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EA" w:rsidRDefault="00EE4AEA" w:rsidP="004D7340">
      <w:pPr>
        <w:spacing w:after="0" w:line="240" w:lineRule="auto"/>
        <w:jc w:val="center"/>
        <w:rPr>
          <w:rFonts w:ascii="Trajan Pro" w:hAnsi="Trajan Pro" w:cstheme="majorBidi"/>
          <w:b/>
          <w:bCs/>
          <w:color w:val="000000" w:themeColor="text1"/>
          <w:sz w:val="24"/>
          <w:szCs w:val="24"/>
        </w:rPr>
      </w:pPr>
    </w:p>
    <w:p w:rsidR="00D81554" w:rsidRDefault="00D81554" w:rsidP="00D81554">
      <w:pPr>
        <w:spacing w:line="0" w:lineRule="atLeast"/>
        <w:jc w:val="center"/>
        <w:rPr>
          <w:rFonts w:asciiTheme="majorBidi" w:eastAsia="Tahoma" w:hAnsiTheme="majorBidi" w:cstheme="majorBidi"/>
          <w:b/>
          <w:bCs/>
        </w:rPr>
      </w:pPr>
    </w:p>
    <w:p w:rsidR="00D81554" w:rsidRPr="00D81554" w:rsidRDefault="00D81554" w:rsidP="00D81554">
      <w:pPr>
        <w:spacing w:line="0" w:lineRule="atLeast"/>
        <w:jc w:val="center"/>
        <w:rPr>
          <w:rFonts w:asciiTheme="majorBidi" w:eastAsia="Tahoma" w:hAnsiTheme="majorBidi" w:cstheme="majorBidi"/>
          <w:b/>
          <w:bCs/>
          <w:sz w:val="24"/>
          <w:szCs w:val="24"/>
        </w:rPr>
      </w:pPr>
      <w:r w:rsidRPr="00D81554">
        <w:rPr>
          <w:rFonts w:asciiTheme="majorBidi" w:eastAsia="Tahoma" w:hAnsiTheme="majorBidi" w:cstheme="majorBidi"/>
          <w:b/>
          <w:bCs/>
          <w:sz w:val="24"/>
          <w:szCs w:val="24"/>
        </w:rPr>
        <w:t>KEDUDUKAN FATWA DSN-MUI DALAM SETIAP TRANSAKSI</w:t>
      </w:r>
      <w:r w:rsidRPr="00D81554">
        <w:rPr>
          <w:rFonts w:asciiTheme="majorBidi" w:eastAsia="Tahoma" w:hAnsiTheme="majorBidi" w:cstheme="majorBidi" w:hint="cs"/>
          <w:b/>
          <w:bCs/>
          <w:sz w:val="24"/>
          <w:szCs w:val="24"/>
          <w:rtl/>
        </w:rPr>
        <w:t xml:space="preserve"> </w:t>
      </w:r>
      <w:r w:rsidRPr="00D81554">
        <w:rPr>
          <w:rFonts w:asciiTheme="majorBidi" w:eastAsia="Tahoma" w:hAnsiTheme="majorBidi" w:cstheme="majorBidi"/>
          <w:b/>
          <w:bCs/>
          <w:sz w:val="24"/>
          <w:szCs w:val="24"/>
        </w:rPr>
        <w:t xml:space="preserve">KEUANGAN PADA LEMBAGA KEUANGAN SYARIAH DI INDONESIA </w:t>
      </w:r>
    </w:p>
    <w:p w:rsidR="00D81554" w:rsidRDefault="00D81554" w:rsidP="001A2B5C">
      <w:pPr>
        <w:spacing w:after="0" w:line="240" w:lineRule="auto"/>
        <w:jc w:val="center"/>
        <w:rPr>
          <w:rFonts w:ascii="Trajan Pro" w:hAnsi="Trajan Pro" w:cstheme="majorBidi"/>
          <w:b/>
          <w:bCs/>
          <w:iCs/>
          <w:color w:val="000000" w:themeColor="text1"/>
          <w:sz w:val="24"/>
          <w:szCs w:val="24"/>
        </w:rPr>
      </w:pPr>
    </w:p>
    <w:p w:rsidR="00D81554" w:rsidRDefault="00D81554" w:rsidP="00D81554">
      <w:pPr>
        <w:spacing w:line="0" w:lineRule="atLeast"/>
        <w:ind w:left="1080" w:hanging="1080"/>
        <w:jc w:val="center"/>
        <w:rPr>
          <w:rFonts w:asciiTheme="majorBidi" w:eastAsia="Tahoma" w:hAnsiTheme="majorBidi" w:cstheme="majorBidi"/>
          <w:b/>
          <w:bCs/>
          <w:sz w:val="24"/>
          <w:szCs w:val="24"/>
        </w:rPr>
      </w:pPr>
      <w:r>
        <w:rPr>
          <w:rFonts w:asciiTheme="majorBidi" w:eastAsia="Tahoma" w:hAnsiTheme="majorBidi" w:cstheme="majorBidi"/>
          <w:b/>
          <w:bCs/>
          <w:sz w:val="24"/>
          <w:szCs w:val="24"/>
        </w:rPr>
        <w:t>Oleh</w:t>
      </w:r>
    </w:p>
    <w:p w:rsidR="00D81554" w:rsidRDefault="00D81554" w:rsidP="00D81554">
      <w:pPr>
        <w:tabs>
          <w:tab w:val="center" w:pos="4677"/>
          <w:tab w:val="left" w:pos="6940"/>
        </w:tabs>
        <w:spacing w:after="0" w:line="240" w:lineRule="auto"/>
        <w:ind w:left="1077" w:hanging="1077"/>
        <w:jc w:val="center"/>
        <w:rPr>
          <w:rFonts w:asciiTheme="majorBidi" w:eastAsia="Tahoma" w:hAnsiTheme="majorBidi" w:cstheme="majorBidi"/>
          <w:b/>
          <w:bCs/>
          <w:sz w:val="24"/>
          <w:szCs w:val="24"/>
        </w:rPr>
      </w:pPr>
      <w:r>
        <w:rPr>
          <w:rFonts w:asciiTheme="majorBidi" w:eastAsia="Tahoma" w:hAnsiTheme="majorBidi" w:cstheme="majorBidi"/>
          <w:b/>
          <w:bCs/>
          <w:sz w:val="24"/>
          <w:szCs w:val="24"/>
        </w:rPr>
        <w:t>Awaluddin, SHI,MA</w:t>
      </w:r>
    </w:p>
    <w:p w:rsidR="00D81554" w:rsidRDefault="00D81554" w:rsidP="00D81554">
      <w:pPr>
        <w:spacing w:after="0" w:line="240" w:lineRule="auto"/>
        <w:ind w:left="1077" w:hanging="1077"/>
        <w:jc w:val="center"/>
        <w:rPr>
          <w:rFonts w:asciiTheme="majorBidi" w:eastAsia="Tahoma" w:hAnsiTheme="majorBidi" w:cstheme="majorBidi"/>
          <w:bCs/>
          <w:sz w:val="24"/>
          <w:szCs w:val="24"/>
        </w:rPr>
      </w:pPr>
      <w:r w:rsidRPr="007E14DD">
        <w:rPr>
          <w:rFonts w:asciiTheme="majorBidi" w:eastAsia="Tahoma" w:hAnsiTheme="majorBidi" w:cstheme="majorBidi"/>
          <w:bCs/>
          <w:sz w:val="24"/>
          <w:szCs w:val="24"/>
        </w:rPr>
        <w:t>Dosen Tetap Ekonomi Islam IAN Bukitinggi</w:t>
      </w:r>
    </w:p>
    <w:p w:rsidR="004F03FE" w:rsidRPr="0088239B" w:rsidRDefault="004F03FE" w:rsidP="0088239B">
      <w:pPr>
        <w:spacing w:after="0" w:line="240" w:lineRule="auto"/>
        <w:jc w:val="center"/>
        <w:rPr>
          <w:rFonts w:ascii="Garamond" w:hAnsi="Garamond" w:cstheme="majorBidi"/>
          <w:b/>
          <w:bCs/>
          <w:color w:val="000000" w:themeColor="text1"/>
          <w:sz w:val="24"/>
          <w:szCs w:val="24"/>
        </w:rPr>
      </w:pPr>
    </w:p>
    <w:p w:rsidR="002A52B5" w:rsidRDefault="002A52B5" w:rsidP="002A52B5">
      <w:pPr>
        <w:pStyle w:val="ListParagraph"/>
        <w:tabs>
          <w:tab w:val="left" w:pos="1134"/>
        </w:tabs>
        <w:spacing w:after="0" w:line="240" w:lineRule="auto"/>
        <w:ind w:left="0"/>
        <w:rPr>
          <w:rFonts w:ascii="Garamond" w:hAnsi="Garamond" w:cstheme="majorBidi"/>
          <w:b/>
          <w:bCs/>
          <w:color w:val="000000" w:themeColor="text1"/>
          <w:sz w:val="24"/>
          <w:szCs w:val="24"/>
        </w:rPr>
      </w:pPr>
      <w:r>
        <w:rPr>
          <w:rFonts w:ascii="Garamond" w:hAnsi="Garamond" w:cstheme="majorBidi"/>
          <w:b/>
          <w:bCs/>
          <w:color w:val="000000" w:themeColor="text1"/>
          <w:sz w:val="24"/>
          <w:szCs w:val="24"/>
        </w:rPr>
        <w:t xml:space="preserve">        </w:t>
      </w:r>
      <w:r w:rsidR="008634A2">
        <w:rPr>
          <w:rFonts w:ascii="Garamond" w:hAnsi="Garamond" w:cstheme="majorBidi"/>
          <w:b/>
          <w:bCs/>
          <w:color w:val="000000" w:themeColor="text1"/>
          <w:sz w:val="24"/>
          <w:szCs w:val="24"/>
        </w:rPr>
        <w:t>Abstract</w:t>
      </w:r>
      <w:r w:rsidR="00140C02">
        <w:rPr>
          <w:rFonts w:ascii="Garamond" w:hAnsi="Garamond" w:cstheme="majorBidi"/>
          <w:b/>
          <w:bCs/>
          <w:color w:val="000000" w:themeColor="text1"/>
          <w:sz w:val="24"/>
          <w:szCs w:val="24"/>
          <w:lang w:val="en-US"/>
        </w:rPr>
        <w:t xml:space="preserve"> </w:t>
      </w:r>
    </w:p>
    <w:p w:rsidR="00C15E3B" w:rsidRDefault="00C15E3B" w:rsidP="00C15E3B">
      <w:pPr>
        <w:pStyle w:val="ListParagraph"/>
        <w:tabs>
          <w:tab w:val="left" w:pos="1134"/>
        </w:tabs>
        <w:spacing w:after="0" w:line="240" w:lineRule="auto"/>
        <w:ind w:left="0"/>
        <w:jc w:val="both"/>
        <w:rPr>
          <w:rFonts w:ascii="Times New Roman" w:hAnsi="Times New Roman" w:cs="Times New Roman"/>
          <w:color w:val="222222"/>
          <w:sz w:val="20"/>
          <w:szCs w:val="20"/>
          <w:shd w:val="clear" w:color="auto" w:fill="F8F9FA"/>
        </w:rPr>
      </w:pPr>
      <w:r>
        <w:br/>
      </w:r>
      <w:r w:rsidRPr="001B2F70">
        <w:rPr>
          <w:rFonts w:ascii="Times New Roman" w:hAnsi="Times New Roman" w:cs="Times New Roman"/>
          <w:color w:val="222222"/>
          <w:sz w:val="20"/>
          <w:szCs w:val="20"/>
          <w:shd w:val="clear" w:color="auto" w:fill="F8F9FA"/>
        </w:rPr>
        <w:t>National Sharia council fatwa is a reference by every sharia financial institution in Indonesia in carrying out its operations. To implement sharia compliance by sharia financial institutions a DPS was formed as an extension of the DSN to oversee every financial institution to be in line with sharia principles. A problem that often arises in Islamic financial institutions is that the fatwa issued by DSN requires studies and opinions from DPS in operational techniques in Islamic financial institutions. the existing fatwas have not yet been represented in technical transactions at financial institutions. This research is a sociological juridical study, which examines the existence of MUI fatwas and the development of sharia economy and how the legal relationship between the MUI fatwa and the implementation of sharia economy in Indonesia with applicable laws and regulations. The results of this study see that the position of the fatwa in the perspective of banking law in Indonesia as a juridical reason for the legislature to set in the legislation. Besides that, the DSN fatwa as a technical basis for supervision is regulated in the laws and regulations on Islamic banking. From the data obtained that the position of fatwa in sharia banking has become a reference in every transaction for the future, each DPS in sharia financial institution is expected to not only be an independent board that is complementary but has a special position and staff in charge of each transaction carried out in the hope of implementing Sharia principles are maximally implemented</w:t>
      </w:r>
    </w:p>
    <w:p w:rsidR="00AF04E7" w:rsidRPr="001B2F70" w:rsidRDefault="00AF04E7"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D6166" w:rsidRDefault="00AF04E7" w:rsidP="002A52B5">
      <w:pPr>
        <w:pStyle w:val="ListParagraph"/>
        <w:tabs>
          <w:tab w:val="left" w:pos="1134"/>
        </w:tabs>
        <w:spacing w:after="0" w:line="240" w:lineRule="auto"/>
        <w:ind w:left="0"/>
        <w:rPr>
          <w:rFonts w:ascii="Garamond" w:hAnsi="Garamond" w:cstheme="majorBidi"/>
          <w:bCs/>
          <w:color w:val="000000" w:themeColor="text1"/>
          <w:sz w:val="24"/>
          <w:szCs w:val="24"/>
        </w:rPr>
      </w:pPr>
      <w:r>
        <w:rPr>
          <w:rFonts w:ascii="Garamond" w:hAnsi="Garamond" w:cstheme="majorBidi"/>
          <w:b/>
          <w:bCs/>
          <w:color w:val="000000" w:themeColor="text1"/>
          <w:sz w:val="24"/>
          <w:szCs w:val="24"/>
        </w:rPr>
        <w:t xml:space="preserve">Abstrak </w:t>
      </w:r>
      <w:r w:rsidR="001D6166">
        <w:rPr>
          <w:rFonts w:ascii="Garamond" w:hAnsi="Garamond" w:cstheme="majorBidi"/>
          <w:b/>
          <w:bCs/>
          <w:color w:val="000000" w:themeColor="text1"/>
          <w:sz w:val="24"/>
          <w:szCs w:val="24"/>
        </w:rPr>
        <w:tab/>
      </w:r>
      <w:r w:rsidR="001D6166">
        <w:rPr>
          <w:rFonts w:ascii="Garamond" w:hAnsi="Garamond" w:cstheme="majorBidi"/>
          <w:bCs/>
          <w:color w:val="000000" w:themeColor="text1"/>
          <w:sz w:val="24"/>
          <w:szCs w:val="24"/>
        </w:rPr>
        <w:t xml:space="preserve"> </w:t>
      </w:r>
    </w:p>
    <w:p w:rsidR="00C15E3B" w:rsidRDefault="001D6166" w:rsidP="00587A1D">
      <w:pPr>
        <w:spacing w:line="240" w:lineRule="auto"/>
        <w:ind w:firstLine="720"/>
        <w:jc w:val="both"/>
        <w:rPr>
          <w:rFonts w:asciiTheme="majorBidi" w:eastAsia="Tahoma" w:hAnsiTheme="majorBidi" w:cstheme="majorBidi"/>
          <w:sz w:val="20"/>
          <w:szCs w:val="20"/>
        </w:rPr>
      </w:pPr>
      <w:r w:rsidRPr="001B2F70">
        <w:rPr>
          <w:rFonts w:ascii="Times New Roman" w:hAnsi="Times New Roman" w:cs="Times New Roman"/>
          <w:bCs/>
          <w:color w:val="000000" w:themeColor="text1"/>
          <w:sz w:val="20"/>
          <w:szCs w:val="20"/>
        </w:rPr>
        <w:t xml:space="preserve">Fatwa dewan syariah nasional merupakan rujukan oleh setiap lembaga keuangan syariah di Indonesia dalam menjalankan opersionalnnya. Untuk menjalankan kepatuhan syariah oleh lembaga keuangan syariah maka dibentuklah DPS sebagai perpanjangan tangan dari DSN untuk mengawasi setiap lembaga keuangan untuk sejalan dengan prinsip syariah. </w:t>
      </w:r>
      <w:r w:rsidR="000069CA" w:rsidRPr="001B2F70">
        <w:rPr>
          <w:rFonts w:ascii="Times New Roman" w:hAnsi="Times New Roman" w:cs="Times New Roman"/>
          <w:bCs/>
          <w:color w:val="000000" w:themeColor="text1"/>
          <w:sz w:val="20"/>
          <w:szCs w:val="20"/>
        </w:rPr>
        <w:t xml:space="preserve">problem yang sering muncul di lembaga keuangan syariah adalah fatwa yang dikeluarkan oleh DSN membutuhkan kajian dan opini dari DPS dalam teknis operasional di lembaga keuangan syariah. fatwa yang sudah ada belum semuannya terwakili dalam teknis transaksi pada lembaga keuangan. </w:t>
      </w:r>
      <w:r w:rsidR="00477E6C" w:rsidRPr="001B2F70">
        <w:rPr>
          <w:rFonts w:asciiTheme="majorBidi" w:eastAsia="Tahoma" w:hAnsiTheme="majorBidi" w:cstheme="majorBidi"/>
          <w:sz w:val="20"/>
          <w:szCs w:val="20"/>
        </w:rPr>
        <w:t xml:space="preserve">Penelitian ini merupakan suatu penelitian yuridis sosiologis, yaitu meneliti tentang keberadaan Fatwa-fatwa MUI dan perkembangan ekonomi syariah dan bagaimana hubungan hukum antara fatwa MUI dan pelaksanaan ekonomi syariah di Indonesia dengan peraturan perundang-undangan yang berlaku. Hasil penelitian ini </w:t>
      </w:r>
      <w:r w:rsidR="00C15E3B" w:rsidRPr="001B2F70">
        <w:rPr>
          <w:rFonts w:asciiTheme="majorBidi" w:eastAsia="Tahoma" w:hAnsiTheme="majorBidi" w:cstheme="majorBidi"/>
          <w:sz w:val="20"/>
          <w:szCs w:val="20"/>
        </w:rPr>
        <w:t>melihat bahwa kedudukan fatwa dalam prespektif hukum perbankan di indonesi sebagai alasan yuridis bagi lembaga legislasi untuk menetapkan dalam aturan perundang-undangan. Disamping itu juga fatwa DSN sebagai dasar teknis pengawasan yang diatur dalam aturan perundang-undangan tentang perbankan syariah. Dari data yang diperoleh bahwa kedudukan fatwa pada perbankan syariah sudah menjadi rujukan dalam setiap transaksi untuk kedepannya setiap DPS yang ada dilembaga keuangan syariah diharapkan tidak hanya sebagai dewan independen yang besifat sebagai pelengkap tetapi memiliki kedudukan dan staf khusu yang membidangi setiap transaksi yang dijalankan dengan harapan pelaksaan prinsip syariah maksimal dilaksanakan</w:t>
      </w:r>
    </w:p>
    <w:p w:rsidR="001B2F70" w:rsidRPr="001B2F70" w:rsidRDefault="001B2F70" w:rsidP="001B2F70">
      <w:pPr>
        <w:spacing w:line="240" w:lineRule="auto"/>
        <w:jc w:val="both"/>
        <w:rPr>
          <w:rFonts w:asciiTheme="majorBidi" w:eastAsia="Tahoma" w:hAnsiTheme="majorBidi" w:cstheme="majorBidi"/>
          <w:b/>
          <w:sz w:val="20"/>
          <w:szCs w:val="20"/>
        </w:rPr>
      </w:pPr>
      <w:r w:rsidRPr="001B2F70">
        <w:rPr>
          <w:rFonts w:asciiTheme="majorBidi" w:eastAsia="Tahoma" w:hAnsiTheme="majorBidi" w:cstheme="majorBidi"/>
          <w:b/>
          <w:sz w:val="20"/>
          <w:szCs w:val="20"/>
        </w:rPr>
        <w:t>Kata kunci: Fatwa, DSN, Lembaga keuangan Syariah</w:t>
      </w:r>
    </w:p>
    <w:p w:rsidR="001D6166" w:rsidRDefault="001D6166"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B2F70" w:rsidRPr="001B2F70" w:rsidRDefault="001B2F70" w:rsidP="00C15E3B">
      <w:pPr>
        <w:pStyle w:val="ListParagraph"/>
        <w:tabs>
          <w:tab w:val="left" w:pos="1134"/>
        </w:tabs>
        <w:spacing w:after="0" w:line="240" w:lineRule="auto"/>
        <w:ind w:left="0"/>
        <w:jc w:val="both"/>
        <w:rPr>
          <w:rFonts w:ascii="Times New Roman" w:hAnsi="Times New Roman" w:cs="Times New Roman"/>
          <w:bCs/>
          <w:color w:val="000000" w:themeColor="text1"/>
          <w:sz w:val="20"/>
          <w:szCs w:val="20"/>
        </w:rPr>
      </w:pPr>
    </w:p>
    <w:p w:rsidR="001D6673" w:rsidRPr="00300123" w:rsidRDefault="001D6673" w:rsidP="00300123">
      <w:pPr>
        <w:pStyle w:val="ListParagraph"/>
        <w:spacing w:after="0" w:line="240" w:lineRule="auto"/>
        <w:ind w:left="567" w:right="567"/>
        <w:jc w:val="both"/>
        <w:rPr>
          <w:rFonts w:ascii="Garamond" w:hAnsi="Garamond" w:cstheme="majorBidi"/>
          <w:color w:val="000000" w:themeColor="text1"/>
        </w:rPr>
      </w:pPr>
    </w:p>
    <w:p w:rsidR="001D6673" w:rsidRPr="001D6673" w:rsidRDefault="001D6673" w:rsidP="001D6673">
      <w:pPr>
        <w:pStyle w:val="ListParagraph"/>
        <w:spacing w:after="0" w:line="240" w:lineRule="auto"/>
        <w:ind w:left="567" w:right="567"/>
        <w:jc w:val="both"/>
        <w:rPr>
          <w:rFonts w:ascii="Garamond" w:hAnsi="Garamond" w:cstheme="majorBidi"/>
          <w:color w:val="000000" w:themeColor="text1"/>
          <w:lang w:val="en-US"/>
        </w:rPr>
      </w:pPr>
    </w:p>
    <w:p w:rsidR="001D6673" w:rsidRPr="001D6673" w:rsidRDefault="001D6673" w:rsidP="0088239B">
      <w:pPr>
        <w:jc w:val="both"/>
        <w:rPr>
          <w:rFonts w:ascii="Garamond" w:hAnsi="Garamond" w:cstheme="majorBidi"/>
          <w:color w:val="000000" w:themeColor="text1"/>
          <w:sz w:val="24"/>
          <w:szCs w:val="24"/>
          <w:lang w:val="en-US"/>
        </w:rPr>
        <w:sectPr w:rsidR="001D6673" w:rsidRPr="001D6673" w:rsidSect="00E56734">
          <w:headerReference w:type="default" r:id="rId9"/>
          <w:footerReference w:type="default" r:id="rId10"/>
          <w:headerReference w:type="first" r:id="rId11"/>
          <w:footerReference w:type="first" r:id="rId12"/>
          <w:pgSz w:w="11907" w:h="16839" w:code="9"/>
          <w:pgMar w:top="1361" w:right="1134" w:bottom="1134" w:left="1701" w:header="680" w:footer="680" w:gutter="0"/>
          <w:pgNumType w:start="1"/>
          <w:cols w:space="720"/>
          <w:docGrid w:linePitch="360"/>
        </w:sectPr>
      </w:pPr>
    </w:p>
    <w:p w:rsidR="00AC04FB" w:rsidRDefault="00AC04FB" w:rsidP="00AC04FB">
      <w:pPr>
        <w:pStyle w:val="ListParagraph"/>
        <w:numPr>
          <w:ilvl w:val="0"/>
          <w:numId w:val="38"/>
        </w:numPr>
        <w:spacing w:after="0"/>
        <w:ind w:left="284" w:hanging="284"/>
        <w:rPr>
          <w:rFonts w:ascii="Garamond" w:hAnsi="Garamond" w:cstheme="majorBidi"/>
          <w:b/>
          <w:bCs/>
          <w:color w:val="000000" w:themeColor="text1"/>
          <w:sz w:val="24"/>
          <w:szCs w:val="24"/>
        </w:rPr>
      </w:pPr>
      <w:r w:rsidRPr="00AC04FB">
        <w:rPr>
          <w:rFonts w:ascii="Garamond" w:hAnsi="Garamond" w:cstheme="majorBidi"/>
          <w:b/>
          <w:bCs/>
          <w:color w:val="000000" w:themeColor="text1"/>
          <w:sz w:val="24"/>
          <w:szCs w:val="24"/>
        </w:rPr>
        <w:lastRenderedPageBreak/>
        <w:t>Pendahuluan</w:t>
      </w:r>
    </w:p>
    <w:p w:rsidR="008B6EED" w:rsidRDefault="008B6EED" w:rsidP="008B6EED">
      <w:pPr>
        <w:pStyle w:val="ListParagraph"/>
        <w:spacing w:after="0"/>
        <w:ind w:left="284"/>
        <w:rPr>
          <w:rFonts w:ascii="Garamond" w:hAnsi="Garamond" w:cstheme="majorBidi"/>
          <w:b/>
          <w:bCs/>
          <w:color w:val="000000" w:themeColor="text1"/>
          <w:sz w:val="24"/>
          <w:szCs w:val="24"/>
        </w:rPr>
      </w:pPr>
    </w:p>
    <w:p w:rsidR="008B6EED" w:rsidRPr="008B6EED" w:rsidRDefault="008B6EED" w:rsidP="008B6EED">
      <w:pPr>
        <w:pStyle w:val="ListParagraph"/>
        <w:spacing w:after="0" w:line="360" w:lineRule="auto"/>
        <w:ind w:left="0"/>
        <w:jc w:val="both"/>
        <w:rPr>
          <w:rFonts w:ascii="Times New Roman" w:hAnsi="Times New Roman" w:cs="Times New Roman"/>
          <w:b/>
          <w:bCs/>
          <w:color w:val="000000" w:themeColor="text1"/>
          <w:sz w:val="24"/>
          <w:szCs w:val="24"/>
        </w:rPr>
      </w:pPr>
      <w:r w:rsidRPr="008B6EED">
        <w:rPr>
          <w:rFonts w:ascii="Times New Roman" w:hAnsi="Times New Roman" w:cs="Times New Roman"/>
          <w:sz w:val="24"/>
          <w:szCs w:val="24"/>
        </w:rPr>
        <w:t>Fatwa merupakan instrumen hukum yang penting bagi masyarakat muslim di Indonesia dalam menjawab berbagai persoalan sejak zaman kolonial. Dalam cacatan Nico Kaptein selama rentang abad 19 dan 20, produk fatwa yang ada di Indoensia dapat ditemukan dalam tiga bentuk. Pertama, fatwa individu bercorak tradisionalis yang direpresentasikan oleh manuskrip berjudul muhimmat al-nafais fi bayan as’ilat al-hadith, berisi kompilasi fatwa dari beberapa ulama yang sebagian besar dari Syekh Zaini Ahmad Dahlan (w. 1886), mufti Mekah bermadzhab Syafi’i (Kaptein, 1995: 141-142). Kedua, fatwa individu bercorak modernis diwakili oleh buku karya A. Hassan (1887 – 1958) dengan judul Soal Jawab yang berisi fatwa-fatwa dihimpun dari majalah Pembela Islam periode 1929 – 1935. Ketiga, fatwa komunal yang dikeluarkan oleh organisasi atau lembaga keagamaan seperti hasil bahtsul masail Nahdlatul Ulama (1926), fatwa majelis tarjih Muhammadiyyah (1912), dan juga fatwa Majelis Ulama Indonesia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rsidR="00AC04FB" w:rsidRDefault="00AC04FB" w:rsidP="00AC04FB">
      <w:pPr>
        <w:pStyle w:val="ListParagraph"/>
        <w:spacing w:line="360" w:lineRule="auto"/>
        <w:ind w:left="0" w:firstLine="720"/>
        <w:jc w:val="both"/>
        <w:rPr>
          <w:rFonts w:asciiTheme="majorBidi" w:hAnsiTheme="majorBidi" w:cstheme="majorBidi"/>
          <w:bCs/>
          <w:sz w:val="24"/>
          <w:szCs w:val="24"/>
        </w:rPr>
      </w:pPr>
      <w:r w:rsidRPr="00986542">
        <w:rPr>
          <w:rFonts w:asciiTheme="majorBidi" w:hAnsiTheme="majorBidi" w:cstheme="majorBidi"/>
          <w:bCs/>
          <w:sz w:val="24"/>
          <w:szCs w:val="24"/>
        </w:rPr>
        <w:t xml:space="preserve">Fatwa majlis ulama indonesia telah memberikan konstribusi besar dalam penerapan hukum syariah pada lembaga keuangan semenjak tahun 2000. Sebagai </w:t>
      </w:r>
      <w:r w:rsidRPr="00986542">
        <w:rPr>
          <w:rFonts w:asciiTheme="majorBidi" w:hAnsiTheme="majorBidi" w:cstheme="majorBidi"/>
          <w:bCs/>
          <w:sz w:val="24"/>
          <w:szCs w:val="24"/>
        </w:rPr>
        <w:lastRenderedPageBreak/>
        <w:t>otoritas yang mengeluarkan aturan sebagai rujukan oleh setiap lembaga keuangan di Indonesia, DSN-MUI telah melakukan upaya besar dalam memberikan legalitas hukum sebagai bahan untuk pengawasan ditingkat dewan pengawas syariah. Berdasarkan aturan yangmengatur lembaga keuangan syariah terutama perbankan syariah berdasarkan UU no 21 tahun 2008, maka setiap perbankan syariah yang menjalankan aktifiatas bisnis harus mendapatkan legalitas formal dalam bentuk fatwa dari DSN-MUI</w:t>
      </w:r>
      <w:r w:rsidR="00623B94">
        <w:rPr>
          <w:rStyle w:val="FootnoteReference"/>
          <w:rFonts w:asciiTheme="majorBidi" w:hAnsiTheme="majorBidi" w:cstheme="majorBidi"/>
          <w:bCs/>
          <w:sz w:val="24"/>
          <w:szCs w:val="24"/>
        </w:rPr>
        <w:footnoteReference w:id="2"/>
      </w:r>
      <w:r w:rsidRPr="00986542">
        <w:rPr>
          <w:rFonts w:asciiTheme="majorBidi" w:hAnsiTheme="majorBidi" w:cstheme="majorBidi"/>
          <w:bCs/>
          <w:sz w:val="24"/>
          <w:szCs w:val="24"/>
        </w:rPr>
        <w:t xml:space="preserve">. Hal ini bertujuan untuk mewujudkan keserasian dan keseuaian transaksi yang dijalankan dengan nilai-nilai syariat islam. Konstribusi fatwa DSN-MUI sebagai produk hukum telah berjalan pada lembaga keuangan semenjak tahun 2000, tentu pelaksanaan fatwa sebagai wujudnyata oleh pihak lembaga keuangan untuk mewujudkan transaksi bisnis yang merujuk kepada ketentuan syariat islam. Lembaga keuangan syariah di Indonesia yang semakin hari semakin meningkat tentu tidak hanya bertujuan untuk mencari keuntungan semata tetapi jauh dari pada itu, yaiu untuk mewujudkan keselarasan transasksi dengan prinsip syariat islam. Tentu sebagai lembaga keuangan syariah diberikan mandat untuk mengembangkan aktifitas dakwah kepada </w:t>
      </w:r>
      <w:r w:rsidRPr="00986542">
        <w:rPr>
          <w:rFonts w:asciiTheme="majorBidi" w:hAnsiTheme="majorBidi" w:cstheme="majorBidi"/>
          <w:bCs/>
          <w:sz w:val="24"/>
          <w:szCs w:val="24"/>
        </w:rPr>
        <w:lastRenderedPageBreak/>
        <w:t>masyarakat melalui kegiatan bisnis yang dijalankan. Keberadaan regulasi tentang perbankan di Indonesia telah melahirkan aturan yang mensti dijalankan oleh setiap lembaga keuangan terutama perbankan syariah. Regulasi yang ada memberikan pengutan dan sinergitas terhadap keberadaan fatwa sebagai bagian yang tak terpisahkan dalam setiap transaksi yang dijalankan oleh lembaga keuangan syariah di Indonesia</w:t>
      </w:r>
      <w:r w:rsidR="00623B94">
        <w:rPr>
          <w:rStyle w:val="FootnoteReference"/>
          <w:rFonts w:asciiTheme="majorBidi" w:hAnsiTheme="majorBidi" w:cstheme="majorBidi"/>
          <w:bCs/>
          <w:sz w:val="24"/>
          <w:szCs w:val="24"/>
        </w:rPr>
        <w:footnoteReference w:id="3"/>
      </w:r>
    </w:p>
    <w:p w:rsidR="00AC04FB" w:rsidRDefault="00AC04FB" w:rsidP="00AC04FB">
      <w:pPr>
        <w:pStyle w:val="ListParagraph"/>
        <w:spacing w:line="360" w:lineRule="auto"/>
        <w:ind w:left="0"/>
        <w:jc w:val="both"/>
        <w:rPr>
          <w:rFonts w:asciiTheme="majorBidi" w:eastAsia="Tahoma" w:hAnsiTheme="majorBidi" w:cstheme="majorBidi"/>
          <w:sz w:val="24"/>
          <w:szCs w:val="24"/>
        </w:rPr>
      </w:pPr>
      <w:r>
        <w:rPr>
          <w:rFonts w:asciiTheme="majorBidi" w:hAnsiTheme="majorBidi" w:cstheme="majorBidi"/>
          <w:bCs/>
          <w:sz w:val="24"/>
          <w:szCs w:val="24"/>
        </w:rPr>
        <w:tab/>
      </w:r>
      <w:r w:rsidRPr="0005241E">
        <w:rPr>
          <w:rFonts w:asciiTheme="majorBidi" w:hAnsiTheme="majorBidi" w:cstheme="majorBidi"/>
          <w:bCs/>
          <w:sz w:val="24"/>
          <w:szCs w:val="24"/>
        </w:rPr>
        <w:t>Sebagi upaya dalam pengawasan syariah ditingkat lembaga keuangan syariah maka DSN-MUI bekerjasama dengan otoritas jasa keuangan telah menyepakati perlunya dewan pengawas syariah pada masing-masing lembaga keuangan syariah. Hal ini bertujuan untuk memberikan pengawasan serta mendukung setiap program kegiatan yang dijalankan di masing-masing lembaga keuangan syariah supaya sejalan dengan fatwa dewan syariah nasional</w:t>
      </w:r>
      <w:r w:rsidR="00623B94">
        <w:rPr>
          <w:rStyle w:val="FootnoteReference"/>
          <w:rFonts w:asciiTheme="majorBidi" w:hAnsiTheme="majorBidi" w:cstheme="majorBidi"/>
          <w:bCs/>
          <w:sz w:val="24"/>
          <w:szCs w:val="24"/>
        </w:rPr>
        <w:footnoteReference w:id="4"/>
      </w:r>
      <w:r w:rsidRPr="0005241E">
        <w:rPr>
          <w:rFonts w:asciiTheme="majorBidi" w:hAnsiTheme="majorBidi" w:cstheme="majorBidi"/>
          <w:bCs/>
          <w:sz w:val="24"/>
          <w:szCs w:val="24"/>
        </w:rPr>
        <w:t xml:space="preserve">. Keberadaan DPS di masing-masing lembaga keuangan syariah sengat penting diemi terwujudnya pelaksanaan syariah sesuai dengan fatwa yang telah ada. </w:t>
      </w:r>
      <w:r w:rsidRPr="0005241E">
        <w:rPr>
          <w:rFonts w:asciiTheme="majorBidi" w:eastAsia="Tahoma" w:hAnsiTheme="majorBidi" w:cstheme="majorBidi"/>
          <w:sz w:val="24"/>
          <w:szCs w:val="24"/>
        </w:rPr>
        <w:t xml:space="preserve">Sejak berdiri tahun 1999, DSN, telah mengeluarkan lebih dari 80 fatwa tentang ekonomi syariah, antara lain, fatwa tentang giro, tabungan, </w:t>
      </w:r>
      <w:r w:rsidRPr="0005241E">
        <w:rPr>
          <w:rFonts w:asciiTheme="majorBidi" w:eastAsia="Tahoma" w:hAnsiTheme="majorBidi" w:cstheme="majorBidi"/>
          <w:i/>
          <w:sz w:val="24"/>
          <w:szCs w:val="24"/>
        </w:rPr>
        <w:t>murabahah</w:t>
      </w:r>
      <w:r w:rsidRPr="0005241E">
        <w:rPr>
          <w:rFonts w:asciiTheme="majorBidi" w:eastAsia="Tahoma" w:hAnsiTheme="majorBidi" w:cstheme="majorBidi"/>
          <w:sz w:val="24"/>
          <w:szCs w:val="24"/>
        </w:rPr>
        <w:t>, jual beli saham,</w:t>
      </w:r>
      <w:r w:rsidRPr="0005241E">
        <w:rPr>
          <w:rFonts w:asciiTheme="majorBidi" w:eastAsia="Tahoma" w:hAnsiTheme="majorBidi" w:cstheme="majorBidi"/>
          <w:i/>
          <w:sz w:val="24"/>
          <w:szCs w:val="24"/>
        </w:rPr>
        <w:t xml:space="preserve"> istishna’</w:t>
      </w:r>
      <w:r w:rsidRPr="0005241E">
        <w:rPr>
          <w:rFonts w:asciiTheme="majorBidi" w:eastAsia="Tahoma" w:hAnsiTheme="majorBidi" w:cstheme="majorBidi"/>
          <w:sz w:val="24"/>
          <w:szCs w:val="24"/>
        </w:rPr>
        <w:t>,</w:t>
      </w:r>
      <w:r w:rsidRPr="0005241E">
        <w:rPr>
          <w:rFonts w:asciiTheme="majorBidi" w:eastAsia="Tahoma" w:hAnsiTheme="majorBidi" w:cstheme="majorBidi"/>
          <w:i/>
          <w:sz w:val="24"/>
          <w:szCs w:val="24"/>
        </w:rPr>
        <w:t xml:space="preserve"> mudharabah</w:t>
      </w:r>
      <w:r w:rsidRPr="0005241E">
        <w:rPr>
          <w:rFonts w:asciiTheme="majorBidi" w:eastAsia="Tahoma" w:hAnsiTheme="majorBidi" w:cstheme="majorBidi"/>
          <w:sz w:val="24"/>
          <w:szCs w:val="24"/>
        </w:rPr>
        <w:t>,</w:t>
      </w:r>
      <w:r w:rsidRPr="0005241E">
        <w:rPr>
          <w:rFonts w:asciiTheme="majorBidi" w:eastAsia="Tahoma" w:hAnsiTheme="majorBidi" w:cstheme="majorBidi"/>
          <w:i/>
          <w:sz w:val="24"/>
          <w:szCs w:val="24"/>
        </w:rPr>
        <w:t xml:space="preserve"> musyarakah</w:t>
      </w:r>
      <w:r w:rsidRPr="0005241E">
        <w:rPr>
          <w:rFonts w:asciiTheme="majorBidi" w:eastAsia="Tahoma" w:hAnsiTheme="majorBidi" w:cstheme="majorBidi"/>
          <w:sz w:val="24"/>
          <w:szCs w:val="24"/>
        </w:rPr>
        <w:t>,</w:t>
      </w:r>
      <w:r w:rsidRPr="0005241E">
        <w:rPr>
          <w:rFonts w:asciiTheme="majorBidi" w:eastAsia="Tahoma" w:hAnsiTheme="majorBidi" w:cstheme="majorBidi"/>
          <w:i/>
          <w:sz w:val="24"/>
          <w:szCs w:val="24"/>
        </w:rPr>
        <w:t xml:space="preserve"> ijarah</w:t>
      </w:r>
      <w:r w:rsidRPr="0005241E">
        <w:rPr>
          <w:rFonts w:asciiTheme="majorBidi" w:eastAsia="Tahoma" w:hAnsiTheme="majorBidi" w:cstheme="majorBidi"/>
          <w:sz w:val="24"/>
          <w:szCs w:val="24"/>
        </w:rPr>
        <w:t>,</w:t>
      </w:r>
      <w:r w:rsidRPr="0005241E">
        <w:rPr>
          <w:rFonts w:asciiTheme="majorBidi" w:eastAsia="Tahoma" w:hAnsiTheme="majorBidi" w:cstheme="majorBidi"/>
          <w:i/>
          <w:sz w:val="24"/>
          <w:szCs w:val="24"/>
        </w:rPr>
        <w:t xml:space="preserve"> wakalah</w:t>
      </w:r>
      <w:r w:rsidRPr="0005241E">
        <w:rPr>
          <w:rFonts w:asciiTheme="majorBidi" w:eastAsia="Tahoma" w:hAnsiTheme="majorBidi" w:cstheme="majorBidi"/>
          <w:sz w:val="24"/>
          <w:szCs w:val="24"/>
        </w:rPr>
        <w:t>,</w:t>
      </w:r>
      <w:r w:rsidRPr="0005241E">
        <w:rPr>
          <w:rFonts w:asciiTheme="majorBidi" w:eastAsia="Tahoma" w:hAnsiTheme="majorBidi" w:cstheme="majorBidi"/>
          <w:i/>
          <w:sz w:val="24"/>
          <w:szCs w:val="24"/>
        </w:rPr>
        <w:t xml:space="preserve"> kafalah</w:t>
      </w:r>
      <w:r w:rsidRPr="0005241E">
        <w:rPr>
          <w:rFonts w:asciiTheme="majorBidi" w:eastAsia="Tahoma" w:hAnsiTheme="majorBidi" w:cstheme="majorBidi"/>
          <w:sz w:val="24"/>
          <w:szCs w:val="24"/>
        </w:rPr>
        <w:t>,</w:t>
      </w:r>
      <w:r w:rsidRPr="0005241E">
        <w:rPr>
          <w:rFonts w:asciiTheme="majorBidi" w:eastAsia="Tahoma" w:hAnsiTheme="majorBidi" w:cstheme="majorBidi"/>
          <w:i/>
          <w:sz w:val="24"/>
          <w:szCs w:val="24"/>
        </w:rPr>
        <w:t xml:space="preserve"> hawalah</w:t>
      </w:r>
      <w:r w:rsidRPr="0005241E">
        <w:rPr>
          <w:rFonts w:asciiTheme="majorBidi" w:eastAsia="Tahoma" w:hAnsiTheme="majorBidi" w:cstheme="majorBidi"/>
          <w:sz w:val="24"/>
          <w:szCs w:val="24"/>
        </w:rPr>
        <w:t>, uang muka dalam</w:t>
      </w:r>
      <w:r w:rsidRPr="0005241E">
        <w:rPr>
          <w:rFonts w:asciiTheme="majorBidi" w:eastAsia="Tahoma" w:hAnsiTheme="majorBidi" w:cstheme="majorBidi"/>
          <w:i/>
          <w:sz w:val="24"/>
          <w:szCs w:val="24"/>
        </w:rPr>
        <w:t xml:space="preserve"> </w:t>
      </w:r>
      <w:r w:rsidRPr="0005241E">
        <w:rPr>
          <w:rFonts w:asciiTheme="majorBidi" w:eastAsia="Tahoma" w:hAnsiTheme="majorBidi" w:cstheme="majorBidi"/>
          <w:i/>
          <w:sz w:val="24"/>
          <w:szCs w:val="24"/>
        </w:rPr>
        <w:lastRenderedPageBreak/>
        <w:t>murabahah</w:t>
      </w:r>
      <w:r w:rsidRPr="0005241E">
        <w:rPr>
          <w:rFonts w:asciiTheme="majorBidi" w:eastAsia="Tahoma" w:hAnsiTheme="majorBidi" w:cstheme="majorBidi"/>
          <w:sz w:val="24"/>
          <w:szCs w:val="24"/>
        </w:rPr>
        <w:t>, sistem distribusi</w:t>
      </w:r>
      <w:r w:rsidRPr="0005241E">
        <w:rPr>
          <w:rFonts w:asciiTheme="majorBidi" w:eastAsia="Tahoma" w:hAnsiTheme="majorBidi" w:cstheme="majorBidi"/>
          <w:i/>
          <w:sz w:val="24"/>
          <w:szCs w:val="24"/>
        </w:rPr>
        <w:t xml:space="preserve"> </w:t>
      </w:r>
      <w:r w:rsidRPr="0005241E">
        <w:rPr>
          <w:rFonts w:asciiTheme="majorBidi" w:eastAsia="Tahoma" w:hAnsiTheme="majorBidi" w:cstheme="majorBidi"/>
          <w:sz w:val="24"/>
          <w:szCs w:val="24"/>
        </w:rPr>
        <w:t xml:space="preserve">hasil usaha dalam lembaga keuangan syariah, diskon dalam </w:t>
      </w:r>
      <w:r w:rsidRPr="0005241E">
        <w:rPr>
          <w:rFonts w:asciiTheme="majorBidi" w:eastAsia="Tahoma" w:hAnsiTheme="majorBidi" w:cstheme="majorBidi"/>
          <w:i/>
          <w:sz w:val="24"/>
          <w:szCs w:val="24"/>
        </w:rPr>
        <w:t>murabahah</w:t>
      </w:r>
      <w:r w:rsidRPr="0005241E">
        <w:rPr>
          <w:rFonts w:asciiTheme="majorBidi" w:eastAsia="Tahoma" w:hAnsiTheme="majorBidi" w:cstheme="majorBidi"/>
          <w:sz w:val="24"/>
          <w:szCs w:val="24"/>
        </w:rPr>
        <w:t xml:space="preserve">, sanksi atas nasabah mampu yang menunda-nunda pembayaran, pencadangan penghapusan aktiva produktif dalam Lembaga Keuangan Syariah, </w:t>
      </w:r>
      <w:r w:rsidRPr="0005241E">
        <w:rPr>
          <w:rFonts w:asciiTheme="majorBidi" w:eastAsia="Tahoma" w:hAnsiTheme="majorBidi" w:cstheme="majorBidi"/>
          <w:i/>
          <w:sz w:val="24"/>
          <w:szCs w:val="24"/>
        </w:rPr>
        <w:t>al-qaradh</w:t>
      </w:r>
      <w:r w:rsidRPr="0005241E">
        <w:rPr>
          <w:rFonts w:asciiTheme="majorBidi" w:eastAsia="Tahoma" w:hAnsiTheme="majorBidi" w:cstheme="majorBidi"/>
          <w:sz w:val="24"/>
          <w:szCs w:val="24"/>
        </w:rPr>
        <w:t xml:space="preserve">, investasi reksadana syariah, pedoman umum asuransi syariah, jual beli </w:t>
      </w:r>
      <w:r w:rsidRPr="0005241E">
        <w:rPr>
          <w:rFonts w:asciiTheme="majorBidi" w:eastAsia="Tahoma" w:hAnsiTheme="majorBidi" w:cstheme="majorBidi"/>
          <w:i/>
          <w:sz w:val="24"/>
          <w:szCs w:val="24"/>
        </w:rPr>
        <w:t>istisna’</w:t>
      </w:r>
      <w:r w:rsidRPr="0005241E">
        <w:rPr>
          <w:rFonts w:asciiTheme="majorBidi" w:eastAsia="Tahoma" w:hAnsiTheme="majorBidi" w:cstheme="majorBidi"/>
          <w:sz w:val="24"/>
          <w:szCs w:val="24"/>
        </w:rPr>
        <w:t xml:space="preserve"> paralel, potongan pelunasan dalam </w:t>
      </w:r>
      <w:r w:rsidRPr="0005241E">
        <w:rPr>
          <w:rFonts w:asciiTheme="majorBidi" w:eastAsia="Tahoma" w:hAnsiTheme="majorBidi" w:cstheme="majorBidi"/>
          <w:i/>
          <w:sz w:val="24"/>
          <w:szCs w:val="24"/>
        </w:rPr>
        <w:t>murabahah</w:t>
      </w:r>
      <w:r w:rsidRPr="0005241E">
        <w:rPr>
          <w:rFonts w:asciiTheme="majorBidi" w:eastAsia="Tahoma" w:hAnsiTheme="majorBidi" w:cstheme="majorBidi"/>
          <w:sz w:val="24"/>
          <w:szCs w:val="24"/>
        </w:rPr>
        <w:t xml:space="preserve">, </w:t>
      </w:r>
      <w:r w:rsidRPr="0005241E">
        <w:rPr>
          <w:rFonts w:asciiTheme="majorBidi" w:eastAsia="Tahoma" w:hAnsiTheme="majorBidi" w:cstheme="majorBidi"/>
          <w:i/>
          <w:sz w:val="24"/>
          <w:szCs w:val="24"/>
        </w:rPr>
        <w:t>safe</w:t>
      </w:r>
      <w:r w:rsidRPr="0005241E">
        <w:rPr>
          <w:rFonts w:asciiTheme="majorBidi" w:eastAsia="Tahoma" w:hAnsiTheme="majorBidi" w:cstheme="majorBidi"/>
          <w:sz w:val="24"/>
          <w:szCs w:val="24"/>
        </w:rPr>
        <w:t xml:space="preserve"> </w:t>
      </w:r>
      <w:r w:rsidRPr="0005241E">
        <w:rPr>
          <w:rFonts w:asciiTheme="majorBidi" w:eastAsia="Tahoma" w:hAnsiTheme="majorBidi" w:cstheme="majorBidi"/>
          <w:i/>
          <w:sz w:val="24"/>
          <w:szCs w:val="24"/>
        </w:rPr>
        <w:t>deposit box</w:t>
      </w:r>
      <w:r w:rsidRPr="0005241E">
        <w:rPr>
          <w:rFonts w:asciiTheme="majorBidi" w:eastAsia="Tahoma" w:hAnsiTheme="majorBidi" w:cstheme="majorBidi"/>
          <w:sz w:val="24"/>
          <w:szCs w:val="24"/>
        </w:rPr>
        <w:t>,</w:t>
      </w:r>
      <w:r w:rsidRPr="0005241E">
        <w:rPr>
          <w:rFonts w:asciiTheme="majorBidi" w:eastAsia="Tahoma" w:hAnsiTheme="majorBidi" w:cstheme="majorBidi"/>
          <w:i/>
          <w:sz w:val="24"/>
          <w:szCs w:val="24"/>
        </w:rPr>
        <w:t xml:space="preserve"> raha </w:t>
      </w:r>
      <w:r w:rsidRPr="0005241E">
        <w:rPr>
          <w:rFonts w:asciiTheme="majorBidi" w:eastAsia="Tahoma" w:hAnsiTheme="majorBidi" w:cstheme="majorBidi"/>
          <w:sz w:val="24"/>
          <w:szCs w:val="24"/>
        </w:rPr>
        <w:t>(gadai),</w:t>
      </w:r>
      <w:r w:rsidRPr="0005241E">
        <w:rPr>
          <w:rFonts w:asciiTheme="majorBidi" w:eastAsia="Tahoma" w:hAnsiTheme="majorBidi" w:cstheme="majorBidi"/>
          <w:i/>
          <w:sz w:val="24"/>
          <w:szCs w:val="24"/>
        </w:rPr>
        <w:t xml:space="preserve"> rahn </w:t>
      </w:r>
      <w:r w:rsidRPr="0005241E">
        <w:rPr>
          <w:rFonts w:asciiTheme="majorBidi" w:eastAsia="Tahoma" w:hAnsiTheme="majorBidi" w:cstheme="majorBidi"/>
          <w:sz w:val="24"/>
          <w:szCs w:val="24"/>
        </w:rPr>
        <w:t>emas,</w:t>
      </w:r>
      <w:r w:rsidRPr="0005241E">
        <w:rPr>
          <w:rFonts w:asciiTheme="majorBidi" w:eastAsia="Tahoma" w:hAnsiTheme="majorBidi" w:cstheme="majorBidi"/>
          <w:i/>
          <w:sz w:val="24"/>
          <w:szCs w:val="24"/>
        </w:rPr>
        <w:t xml:space="preserve"> ijarah muntahiyah bit tamlik</w:t>
      </w:r>
      <w:r w:rsidRPr="0005241E">
        <w:rPr>
          <w:rFonts w:asciiTheme="majorBidi" w:eastAsia="Tahoma" w:hAnsiTheme="majorBidi" w:cstheme="majorBidi"/>
          <w:sz w:val="24"/>
          <w:szCs w:val="24"/>
        </w:rPr>
        <w:t>, jual beli</w:t>
      </w:r>
      <w:r w:rsidRPr="0005241E">
        <w:rPr>
          <w:rFonts w:asciiTheme="majorBidi" w:eastAsia="Tahoma" w:hAnsiTheme="majorBidi" w:cstheme="majorBidi"/>
          <w:i/>
          <w:sz w:val="24"/>
          <w:szCs w:val="24"/>
        </w:rPr>
        <w:t xml:space="preserve"> </w:t>
      </w:r>
      <w:r w:rsidRPr="0005241E">
        <w:rPr>
          <w:rFonts w:asciiTheme="majorBidi" w:eastAsia="Tahoma" w:hAnsiTheme="majorBidi" w:cstheme="majorBidi"/>
          <w:sz w:val="24"/>
          <w:szCs w:val="24"/>
        </w:rPr>
        <w:t xml:space="preserve">mata uang, pembiayaan pengurusan haji di Lembaga Keuangan Syariah, pembiayaan rekening koran syariah, pengalihan hutang, obligasi syariah, obligasi syariah </w:t>
      </w:r>
      <w:r w:rsidRPr="0005241E">
        <w:rPr>
          <w:rFonts w:asciiTheme="majorBidi" w:eastAsia="Tahoma" w:hAnsiTheme="majorBidi" w:cstheme="majorBidi"/>
          <w:i/>
          <w:sz w:val="24"/>
          <w:szCs w:val="24"/>
        </w:rPr>
        <w:t>mudharabah</w:t>
      </w:r>
      <w:r w:rsidRPr="0005241E">
        <w:rPr>
          <w:rFonts w:asciiTheme="majorBidi" w:eastAsia="Tahoma" w:hAnsiTheme="majorBidi" w:cstheme="majorBidi"/>
          <w:sz w:val="24"/>
          <w:szCs w:val="24"/>
        </w:rPr>
        <w:t xml:space="preserve">, </w:t>
      </w:r>
      <w:r w:rsidRPr="0005241E">
        <w:rPr>
          <w:rFonts w:asciiTheme="majorBidi" w:eastAsia="Tahoma" w:hAnsiTheme="majorBidi" w:cstheme="majorBidi"/>
          <w:i/>
          <w:sz w:val="24"/>
          <w:szCs w:val="24"/>
        </w:rPr>
        <w:t>Letter of Credit</w:t>
      </w:r>
      <w:r w:rsidRPr="0005241E">
        <w:rPr>
          <w:rFonts w:asciiTheme="majorBidi" w:eastAsia="Tahoma" w:hAnsiTheme="majorBidi" w:cstheme="majorBidi"/>
          <w:sz w:val="24"/>
          <w:szCs w:val="24"/>
        </w:rPr>
        <w:t xml:space="preserve"> (LC) impor syariah, LC untuk ekspor, Sertifikat Wadiah Bank Indoensia, Pasar Uang antar Bank Syariah, sertifikat investasi </w:t>
      </w:r>
      <w:r w:rsidRPr="0005241E">
        <w:rPr>
          <w:rFonts w:asciiTheme="majorBidi" w:eastAsia="Tahoma" w:hAnsiTheme="majorBidi" w:cstheme="majorBidi"/>
          <w:i/>
          <w:sz w:val="24"/>
          <w:szCs w:val="24"/>
        </w:rPr>
        <w:t>mudharabah</w:t>
      </w:r>
      <w:r w:rsidRPr="0005241E">
        <w:rPr>
          <w:rFonts w:asciiTheme="majorBidi" w:eastAsia="Tahoma" w:hAnsiTheme="majorBidi" w:cstheme="majorBidi"/>
          <w:sz w:val="24"/>
          <w:szCs w:val="24"/>
        </w:rPr>
        <w:t xml:space="preserve"> (IMA), asuransi haji, pedoman umum penerapan prinsip syariah di pasar modal, obligasi syariah </w:t>
      </w:r>
      <w:r w:rsidRPr="0005241E">
        <w:rPr>
          <w:rFonts w:asciiTheme="majorBidi" w:eastAsia="Tahoma" w:hAnsiTheme="majorBidi" w:cstheme="majorBidi"/>
          <w:i/>
          <w:sz w:val="24"/>
          <w:szCs w:val="24"/>
        </w:rPr>
        <w:t>ijarah</w:t>
      </w:r>
      <w:r w:rsidRPr="0005241E">
        <w:rPr>
          <w:rFonts w:asciiTheme="majorBidi" w:eastAsia="Tahoma" w:hAnsiTheme="majorBidi" w:cstheme="majorBidi"/>
          <w:sz w:val="24"/>
          <w:szCs w:val="24"/>
        </w:rPr>
        <w:t>, kartu kredit, dan sebagainya</w:t>
      </w:r>
      <w:r w:rsidR="00623B94">
        <w:rPr>
          <w:rStyle w:val="FootnoteReference"/>
          <w:rFonts w:asciiTheme="majorBidi" w:eastAsia="Tahoma" w:hAnsiTheme="majorBidi" w:cstheme="majorBidi"/>
          <w:sz w:val="24"/>
          <w:szCs w:val="24"/>
        </w:rPr>
        <w:footnoteReference w:id="5"/>
      </w:r>
      <w:r w:rsidRPr="0005241E">
        <w:rPr>
          <w:rFonts w:asciiTheme="majorBidi" w:eastAsia="Tahoma" w:hAnsiTheme="majorBidi" w:cstheme="majorBidi"/>
          <w:sz w:val="24"/>
          <w:szCs w:val="24"/>
        </w:rPr>
        <w:t>.</w:t>
      </w:r>
    </w:p>
    <w:p w:rsidR="00AC04FB" w:rsidRDefault="00AC04FB" w:rsidP="00AC04FB">
      <w:pPr>
        <w:pStyle w:val="ListParagraph"/>
        <w:spacing w:line="360" w:lineRule="auto"/>
        <w:ind w:left="0"/>
        <w:jc w:val="both"/>
        <w:rPr>
          <w:rFonts w:asciiTheme="majorBidi" w:eastAsia="Tahoma" w:hAnsiTheme="majorBidi" w:cstheme="majorBidi"/>
          <w:sz w:val="24"/>
          <w:szCs w:val="24"/>
        </w:rPr>
      </w:pPr>
      <w:r>
        <w:rPr>
          <w:rFonts w:asciiTheme="majorBidi" w:eastAsia="Tahoma" w:hAnsiTheme="majorBidi" w:cstheme="majorBidi"/>
          <w:sz w:val="24"/>
          <w:szCs w:val="24"/>
        </w:rPr>
        <w:tab/>
      </w:r>
      <w:r w:rsidRPr="0005241E">
        <w:rPr>
          <w:rFonts w:asciiTheme="majorBidi" w:eastAsia="Tahoma" w:hAnsiTheme="majorBidi" w:cstheme="majorBidi"/>
          <w:sz w:val="24"/>
          <w:szCs w:val="24"/>
        </w:rPr>
        <w:t xml:space="preserve">Permasalahannya adalah apakah para pelaku ekonomi syariah dapat secara langsung menjadikan Fatwa MUI sebagai dasar untuk menerapkan prinsip-prinsip ekonomi syariah ataupun bagi kalangan hakim, apakah Fatwa MUI tersebut dapat dijadikan dasar atau landasan dalam mengambil keputusannya dalam memutus suatu sengketa ataukah fatwa tersebut harus dijadikan atau dituangkan </w:t>
      </w:r>
      <w:r w:rsidRPr="0005241E">
        <w:rPr>
          <w:rFonts w:asciiTheme="majorBidi" w:eastAsia="Tahoma" w:hAnsiTheme="majorBidi" w:cstheme="majorBidi"/>
          <w:sz w:val="24"/>
          <w:szCs w:val="24"/>
        </w:rPr>
        <w:lastRenderedPageBreak/>
        <w:t>terlebih dahulu ke dalam peraturan perundang-undangan, sehingga diakui keberadaannya dan mempunyai kekuatan hukum mengikat. Mengingat Fatwa MUI tidak termasuk ke dalam jenis peraturan perundang-undangan sebagaimana tersebut dalam Pasal 7 Undang-Undang No. 12 Tahun 2011 tentang Pembentukan Peraturan Perundang-undangan. Permasalahan selanjutnya adalah bagaimana peran dan fungsi Fatwa MUI diperlukan dalam mendorong pelaksanaan ekonomi syariah di Indonesia dan faktor apa saja yang menjadi hambatan dalam penerapan Fatwa MUI.</w:t>
      </w:r>
      <w:bookmarkStart w:id="0" w:name="page13"/>
      <w:bookmarkEnd w:id="0"/>
      <w:r w:rsidRPr="0005241E">
        <w:rPr>
          <w:rFonts w:asciiTheme="majorBidi" w:eastAsia="Tahoma" w:hAnsiTheme="majorBidi" w:cstheme="majorBidi"/>
          <w:sz w:val="24"/>
          <w:szCs w:val="24"/>
        </w:rPr>
        <w:t xml:space="preserve">Dari latar belakang permasalahan tersebut diatas, maka perlu dilakukan penelitian mengenai Kedudukan Fatwa Dsn-Mui Dalam Setiap Transaksi Keuangan Pada Lembaga Keuangan Syariah Di Sumatera Barat </w:t>
      </w:r>
    </w:p>
    <w:p w:rsidR="00AC04FB" w:rsidRPr="0005241E" w:rsidRDefault="00AC04FB" w:rsidP="00AC04FB">
      <w:pPr>
        <w:numPr>
          <w:ilvl w:val="0"/>
          <w:numId w:val="40"/>
        </w:numPr>
        <w:tabs>
          <w:tab w:val="left" w:pos="426"/>
        </w:tabs>
        <w:spacing w:after="0" w:line="0" w:lineRule="atLeast"/>
        <w:ind w:left="1100" w:hanging="1100"/>
        <w:jc w:val="both"/>
        <w:rPr>
          <w:rFonts w:asciiTheme="majorBidi" w:eastAsia="Tahoma" w:hAnsiTheme="majorBidi" w:cstheme="majorBidi"/>
          <w:sz w:val="24"/>
          <w:szCs w:val="24"/>
        </w:rPr>
      </w:pPr>
      <w:r>
        <w:rPr>
          <w:rFonts w:asciiTheme="majorBidi" w:eastAsia="Tahoma" w:hAnsiTheme="majorBidi" w:cstheme="majorBidi"/>
          <w:sz w:val="24"/>
          <w:szCs w:val="24"/>
        </w:rPr>
        <w:t xml:space="preserve">Rumusan Masalah </w:t>
      </w:r>
    </w:p>
    <w:p w:rsidR="00AC04FB" w:rsidRPr="0005241E" w:rsidRDefault="00AC04FB" w:rsidP="00AC04FB">
      <w:pPr>
        <w:spacing w:line="136" w:lineRule="exact"/>
        <w:rPr>
          <w:rFonts w:asciiTheme="majorBidi" w:eastAsia="Tahoma" w:hAnsiTheme="majorBidi" w:cstheme="majorBidi"/>
          <w:sz w:val="24"/>
          <w:szCs w:val="24"/>
        </w:rPr>
      </w:pPr>
    </w:p>
    <w:p w:rsidR="00AC04FB" w:rsidRPr="0005241E" w:rsidRDefault="00AC04FB" w:rsidP="00AC04FB">
      <w:pPr>
        <w:numPr>
          <w:ilvl w:val="1"/>
          <w:numId w:val="40"/>
        </w:numPr>
        <w:tabs>
          <w:tab w:val="left" w:pos="709"/>
        </w:tabs>
        <w:spacing w:after="0" w:line="352" w:lineRule="auto"/>
        <w:ind w:left="709" w:right="-29" w:hanging="283"/>
        <w:jc w:val="both"/>
        <w:rPr>
          <w:rFonts w:asciiTheme="majorBidi" w:eastAsia="Tahoma" w:hAnsiTheme="majorBidi" w:cstheme="majorBidi"/>
          <w:sz w:val="24"/>
          <w:szCs w:val="24"/>
        </w:rPr>
      </w:pPr>
      <w:r w:rsidRPr="0005241E">
        <w:rPr>
          <w:rFonts w:asciiTheme="majorBidi" w:eastAsia="Tahoma" w:hAnsiTheme="majorBidi" w:cstheme="majorBidi"/>
          <w:sz w:val="24"/>
          <w:szCs w:val="24"/>
        </w:rPr>
        <w:t>Bagaimana kedudukan Fatwa DSN–MUI d</w:t>
      </w:r>
      <w:r>
        <w:rPr>
          <w:rFonts w:asciiTheme="majorBidi" w:eastAsia="Tahoma" w:hAnsiTheme="majorBidi" w:cstheme="majorBidi"/>
          <w:sz w:val="24"/>
          <w:szCs w:val="24"/>
        </w:rPr>
        <w:t>alam perspektif hukum perbankan syariah di Indonesia</w:t>
      </w:r>
    </w:p>
    <w:p w:rsidR="00AC04FB" w:rsidRPr="0005241E" w:rsidRDefault="00AC04FB" w:rsidP="00AC04FB">
      <w:pPr>
        <w:tabs>
          <w:tab w:val="left" w:pos="709"/>
        </w:tabs>
        <w:spacing w:line="1" w:lineRule="exact"/>
        <w:ind w:left="709" w:hanging="283"/>
        <w:jc w:val="both"/>
        <w:rPr>
          <w:rFonts w:asciiTheme="majorBidi" w:eastAsia="Tahoma" w:hAnsiTheme="majorBidi" w:cstheme="majorBidi"/>
          <w:sz w:val="24"/>
          <w:szCs w:val="24"/>
        </w:rPr>
      </w:pPr>
    </w:p>
    <w:p w:rsidR="00AC04FB" w:rsidRPr="0005241E" w:rsidRDefault="00AC04FB" w:rsidP="00AC04FB">
      <w:pPr>
        <w:numPr>
          <w:ilvl w:val="1"/>
          <w:numId w:val="40"/>
        </w:numPr>
        <w:tabs>
          <w:tab w:val="left" w:pos="709"/>
        </w:tabs>
        <w:spacing w:after="0" w:line="352" w:lineRule="auto"/>
        <w:ind w:left="709" w:right="-29" w:hanging="283"/>
        <w:jc w:val="both"/>
        <w:rPr>
          <w:rFonts w:asciiTheme="majorBidi" w:eastAsia="Tahoma" w:hAnsiTheme="majorBidi" w:cstheme="majorBidi"/>
          <w:sz w:val="24"/>
          <w:szCs w:val="24"/>
        </w:rPr>
      </w:pPr>
      <w:r w:rsidRPr="0005241E">
        <w:rPr>
          <w:rFonts w:asciiTheme="majorBidi" w:eastAsia="Tahoma" w:hAnsiTheme="majorBidi" w:cstheme="majorBidi"/>
          <w:sz w:val="24"/>
          <w:szCs w:val="24"/>
        </w:rPr>
        <w:t xml:space="preserve">Bagaimana peran fatwa DSN-MUI dalam </w:t>
      </w:r>
      <w:r>
        <w:rPr>
          <w:rFonts w:asciiTheme="majorBidi" w:eastAsia="Tahoma" w:hAnsiTheme="majorBidi" w:cstheme="majorBidi"/>
          <w:sz w:val="24"/>
          <w:szCs w:val="24"/>
        </w:rPr>
        <w:t>setiap transaksi keuangan syariah  pada lembaga keuangan syariah  di sumatera barat</w:t>
      </w:r>
      <w:r w:rsidRPr="0005241E">
        <w:rPr>
          <w:rFonts w:asciiTheme="majorBidi" w:eastAsia="Tahoma" w:hAnsiTheme="majorBidi" w:cstheme="majorBidi"/>
          <w:sz w:val="24"/>
          <w:szCs w:val="24"/>
        </w:rPr>
        <w:t>?</w:t>
      </w:r>
    </w:p>
    <w:p w:rsidR="00AC04FB" w:rsidRPr="0005241E" w:rsidRDefault="00AC04FB" w:rsidP="00AC04FB">
      <w:pPr>
        <w:tabs>
          <w:tab w:val="left" w:pos="709"/>
        </w:tabs>
        <w:spacing w:line="1" w:lineRule="exact"/>
        <w:ind w:left="709" w:hanging="283"/>
        <w:jc w:val="both"/>
        <w:rPr>
          <w:rFonts w:asciiTheme="majorBidi" w:eastAsia="Tahoma" w:hAnsiTheme="majorBidi" w:cstheme="majorBidi"/>
          <w:sz w:val="24"/>
          <w:szCs w:val="24"/>
        </w:rPr>
      </w:pPr>
    </w:p>
    <w:p w:rsidR="00AC04FB" w:rsidRDefault="00AC04FB" w:rsidP="00AC04FB">
      <w:pPr>
        <w:numPr>
          <w:ilvl w:val="1"/>
          <w:numId w:val="40"/>
        </w:numPr>
        <w:tabs>
          <w:tab w:val="left" w:pos="709"/>
        </w:tabs>
        <w:spacing w:after="0" w:line="354" w:lineRule="auto"/>
        <w:ind w:left="709" w:right="-29" w:hanging="283"/>
        <w:jc w:val="both"/>
        <w:rPr>
          <w:rFonts w:asciiTheme="majorBidi" w:eastAsia="Tahoma" w:hAnsiTheme="majorBidi" w:cstheme="majorBidi"/>
          <w:sz w:val="24"/>
          <w:szCs w:val="24"/>
        </w:rPr>
      </w:pPr>
      <w:r w:rsidRPr="0005241E">
        <w:rPr>
          <w:rFonts w:asciiTheme="majorBidi" w:eastAsia="Tahoma" w:hAnsiTheme="majorBidi" w:cstheme="majorBidi"/>
          <w:sz w:val="24"/>
          <w:szCs w:val="24"/>
        </w:rPr>
        <w:t>Faktor apa saja yang menjadi hambatan dalam penerapan Fatwa DSN-M</w:t>
      </w:r>
      <w:r>
        <w:rPr>
          <w:rFonts w:asciiTheme="majorBidi" w:eastAsia="Tahoma" w:hAnsiTheme="majorBidi" w:cstheme="majorBidi"/>
          <w:sz w:val="24"/>
          <w:szCs w:val="24"/>
        </w:rPr>
        <w:t>UI di lembaga keuangan syariah</w:t>
      </w:r>
      <w:r w:rsidRPr="0005241E">
        <w:rPr>
          <w:rFonts w:asciiTheme="majorBidi" w:eastAsia="Tahoma" w:hAnsiTheme="majorBidi" w:cstheme="majorBidi"/>
          <w:sz w:val="24"/>
          <w:szCs w:val="24"/>
        </w:rPr>
        <w:t>?</w:t>
      </w:r>
    </w:p>
    <w:p w:rsidR="00AC04FB" w:rsidRDefault="00AC04FB" w:rsidP="00AC04FB">
      <w:pPr>
        <w:pStyle w:val="ListParagraph"/>
        <w:rPr>
          <w:rFonts w:asciiTheme="majorBidi" w:eastAsia="Tahoma" w:hAnsiTheme="majorBidi" w:cstheme="majorBidi"/>
          <w:sz w:val="24"/>
          <w:szCs w:val="24"/>
        </w:rPr>
      </w:pPr>
    </w:p>
    <w:p w:rsidR="00AC04FB" w:rsidRPr="0005241E" w:rsidRDefault="00AC04FB" w:rsidP="00AC04FB">
      <w:pPr>
        <w:numPr>
          <w:ilvl w:val="0"/>
          <w:numId w:val="40"/>
        </w:numPr>
        <w:tabs>
          <w:tab w:val="left" w:pos="0"/>
          <w:tab w:val="left" w:pos="9356"/>
        </w:tabs>
        <w:spacing w:after="0" w:line="360" w:lineRule="auto"/>
        <w:ind w:left="426" w:hanging="426"/>
        <w:jc w:val="both"/>
        <w:rPr>
          <w:rFonts w:asciiTheme="majorBidi" w:eastAsia="Tahoma" w:hAnsiTheme="majorBidi" w:cstheme="majorBidi"/>
          <w:sz w:val="24"/>
          <w:szCs w:val="24"/>
        </w:rPr>
      </w:pPr>
      <w:r w:rsidRPr="0005241E">
        <w:rPr>
          <w:rFonts w:asciiTheme="majorBidi" w:eastAsia="Tahoma" w:hAnsiTheme="majorBidi" w:cstheme="majorBidi"/>
          <w:sz w:val="24"/>
          <w:szCs w:val="24"/>
        </w:rPr>
        <w:t>Tujuan Penelitian</w:t>
      </w:r>
    </w:p>
    <w:p w:rsidR="00AC04FB" w:rsidRPr="0005241E" w:rsidRDefault="00AC04FB" w:rsidP="00AC04FB">
      <w:pPr>
        <w:tabs>
          <w:tab w:val="left" w:pos="9356"/>
        </w:tabs>
        <w:spacing w:line="360" w:lineRule="auto"/>
        <w:ind w:left="426"/>
        <w:jc w:val="both"/>
        <w:rPr>
          <w:rFonts w:asciiTheme="majorBidi" w:eastAsia="Tahoma" w:hAnsiTheme="majorBidi" w:cstheme="majorBidi"/>
          <w:sz w:val="24"/>
          <w:szCs w:val="24"/>
        </w:rPr>
      </w:pPr>
      <w:r w:rsidRPr="0005241E">
        <w:rPr>
          <w:rFonts w:asciiTheme="majorBidi" w:eastAsia="Tahoma" w:hAnsiTheme="majorBidi" w:cstheme="majorBidi"/>
          <w:sz w:val="24"/>
          <w:szCs w:val="24"/>
        </w:rPr>
        <w:lastRenderedPageBreak/>
        <w:t>Tujuan dari penelitian ini adalah untuk mengetahui:</w:t>
      </w:r>
    </w:p>
    <w:p w:rsidR="00AC04FB" w:rsidRPr="0005241E" w:rsidRDefault="00AC04FB" w:rsidP="00EA54D7">
      <w:pPr>
        <w:numPr>
          <w:ilvl w:val="1"/>
          <w:numId w:val="40"/>
        </w:numPr>
        <w:tabs>
          <w:tab w:val="left" w:pos="4507"/>
          <w:tab w:val="left" w:pos="9356"/>
        </w:tabs>
        <w:spacing w:after="0" w:line="352" w:lineRule="auto"/>
        <w:ind w:left="709" w:right="-29" w:hanging="283"/>
        <w:jc w:val="both"/>
        <w:rPr>
          <w:rFonts w:asciiTheme="majorBidi" w:eastAsia="Tahoma" w:hAnsiTheme="majorBidi" w:cstheme="majorBidi"/>
          <w:sz w:val="24"/>
          <w:szCs w:val="24"/>
        </w:rPr>
      </w:pPr>
      <w:r w:rsidRPr="0005241E">
        <w:rPr>
          <w:rFonts w:asciiTheme="majorBidi" w:eastAsia="Tahoma" w:hAnsiTheme="majorBidi" w:cstheme="majorBidi"/>
          <w:sz w:val="24"/>
          <w:szCs w:val="24"/>
        </w:rPr>
        <w:t>Kedudukan Fatwa DSN–MUI dalam perspektif hukum perbankan syariah di Indonesia.</w:t>
      </w:r>
    </w:p>
    <w:p w:rsidR="00AC04FB" w:rsidRPr="0005241E" w:rsidRDefault="00AC04FB" w:rsidP="00EA54D7">
      <w:pPr>
        <w:tabs>
          <w:tab w:val="left" w:pos="4507"/>
          <w:tab w:val="left" w:pos="9356"/>
        </w:tabs>
        <w:spacing w:line="1" w:lineRule="exact"/>
        <w:ind w:left="709" w:right="-29" w:hanging="283"/>
        <w:jc w:val="both"/>
        <w:rPr>
          <w:rFonts w:asciiTheme="majorBidi" w:eastAsia="Tahoma" w:hAnsiTheme="majorBidi" w:cstheme="majorBidi"/>
          <w:sz w:val="24"/>
          <w:szCs w:val="24"/>
        </w:rPr>
      </w:pPr>
    </w:p>
    <w:p w:rsidR="00AC04FB" w:rsidRPr="0005241E" w:rsidRDefault="00AC04FB" w:rsidP="00EA54D7">
      <w:pPr>
        <w:numPr>
          <w:ilvl w:val="1"/>
          <w:numId w:val="40"/>
        </w:numPr>
        <w:tabs>
          <w:tab w:val="left" w:pos="4507"/>
          <w:tab w:val="left" w:pos="9356"/>
        </w:tabs>
        <w:spacing w:after="0" w:line="352" w:lineRule="auto"/>
        <w:ind w:left="709" w:right="-29" w:hanging="283"/>
        <w:jc w:val="both"/>
        <w:rPr>
          <w:rFonts w:asciiTheme="majorBidi" w:eastAsia="Tahoma" w:hAnsiTheme="majorBidi" w:cstheme="majorBidi"/>
          <w:sz w:val="24"/>
          <w:szCs w:val="24"/>
        </w:rPr>
      </w:pPr>
      <w:r w:rsidRPr="0005241E">
        <w:rPr>
          <w:rFonts w:asciiTheme="majorBidi" w:eastAsia="Tahoma" w:hAnsiTheme="majorBidi" w:cstheme="majorBidi"/>
          <w:sz w:val="24"/>
          <w:szCs w:val="24"/>
        </w:rPr>
        <w:t xml:space="preserve">peran fatwa DSN-MUI dalam </w:t>
      </w:r>
      <w:r>
        <w:rPr>
          <w:rFonts w:asciiTheme="majorBidi" w:eastAsia="Tahoma" w:hAnsiTheme="majorBidi" w:cstheme="majorBidi"/>
          <w:sz w:val="24"/>
          <w:szCs w:val="24"/>
        </w:rPr>
        <w:t>setiap transaksi keuangan syariah  pada lembaga keuangan syariah  di sumatera barat</w:t>
      </w:r>
      <w:r w:rsidRPr="0005241E">
        <w:rPr>
          <w:rFonts w:asciiTheme="majorBidi" w:eastAsia="Tahoma" w:hAnsiTheme="majorBidi" w:cstheme="majorBidi"/>
          <w:sz w:val="24"/>
          <w:szCs w:val="24"/>
        </w:rPr>
        <w:t>?</w:t>
      </w:r>
    </w:p>
    <w:p w:rsidR="00AC04FB" w:rsidRPr="0005241E" w:rsidRDefault="00AC04FB" w:rsidP="00EA54D7">
      <w:pPr>
        <w:tabs>
          <w:tab w:val="left" w:pos="4507"/>
          <w:tab w:val="left" w:pos="9356"/>
        </w:tabs>
        <w:spacing w:line="1" w:lineRule="exact"/>
        <w:ind w:left="709" w:right="-29" w:hanging="283"/>
        <w:jc w:val="both"/>
        <w:rPr>
          <w:rFonts w:asciiTheme="majorBidi" w:eastAsia="Tahoma" w:hAnsiTheme="majorBidi" w:cstheme="majorBidi"/>
          <w:sz w:val="24"/>
          <w:szCs w:val="24"/>
        </w:rPr>
      </w:pPr>
    </w:p>
    <w:p w:rsidR="00AC04FB" w:rsidRPr="0005241E" w:rsidRDefault="00AC04FB" w:rsidP="00EA54D7">
      <w:pPr>
        <w:numPr>
          <w:ilvl w:val="1"/>
          <w:numId w:val="40"/>
        </w:numPr>
        <w:tabs>
          <w:tab w:val="left" w:pos="4507"/>
          <w:tab w:val="left" w:pos="9356"/>
        </w:tabs>
        <w:spacing w:after="0" w:line="354" w:lineRule="auto"/>
        <w:ind w:left="709" w:right="-29" w:hanging="283"/>
        <w:jc w:val="both"/>
        <w:rPr>
          <w:rFonts w:asciiTheme="majorBidi" w:eastAsia="Tahoma" w:hAnsiTheme="majorBidi" w:cstheme="majorBidi"/>
          <w:sz w:val="24"/>
          <w:szCs w:val="24"/>
        </w:rPr>
      </w:pPr>
      <w:r>
        <w:rPr>
          <w:rFonts w:asciiTheme="majorBidi" w:eastAsia="Tahoma" w:hAnsiTheme="majorBidi" w:cstheme="majorBidi"/>
          <w:sz w:val="24"/>
          <w:szCs w:val="24"/>
        </w:rPr>
        <w:t xml:space="preserve">Hambatan dalam penerapan fatwa DSN-MUI di lembaga keuangan syariah </w:t>
      </w:r>
      <w:r w:rsidRPr="0005241E">
        <w:rPr>
          <w:rFonts w:asciiTheme="majorBidi" w:eastAsia="Tahoma" w:hAnsiTheme="majorBidi" w:cstheme="majorBidi"/>
          <w:sz w:val="24"/>
          <w:szCs w:val="24"/>
        </w:rPr>
        <w:t>.</w:t>
      </w:r>
    </w:p>
    <w:p w:rsidR="00AC04FB" w:rsidRPr="0005241E" w:rsidRDefault="00AC04FB" w:rsidP="00EA54D7">
      <w:pPr>
        <w:tabs>
          <w:tab w:val="left" w:pos="4507"/>
          <w:tab w:val="left" w:pos="9356"/>
        </w:tabs>
        <w:spacing w:line="1" w:lineRule="exact"/>
        <w:ind w:left="709" w:right="-29" w:hanging="283"/>
        <w:rPr>
          <w:rFonts w:asciiTheme="majorBidi" w:eastAsia="Tahoma" w:hAnsiTheme="majorBidi" w:cstheme="majorBidi"/>
          <w:sz w:val="24"/>
          <w:szCs w:val="24"/>
        </w:rPr>
      </w:pPr>
    </w:p>
    <w:p w:rsidR="00AC04FB" w:rsidRPr="0005241E" w:rsidRDefault="00AC04FB" w:rsidP="00EA54D7">
      <w:pPr>
        <w:numPr>
          <w:ilvl w:val="0"/>
          <w:numId w:val="40"/>
        </w:numPr>
        <w:tabs>
          <w:tab w:val="left" w:pos="426"/>
          <w:tab w:val="left" w:pos="4507"/>
          <w:tab w:val="left" w:pos="9356"/>
        </w:tabs>
        <w:spacing w:after="0" w:line="0" w:lineRule="atLeast"/>
        <w:ind w:right="-29"/>
        <w:rPr>
          <w:rFonts w:asciiTheme="majorBidi" w:eastAsia="Tahoma" w:hAnsiTheme="majorBidi" w:cstheme="majorBidi"/>
          <w:sz w:val="24"/>
          <w:szCs w:val="24"/>
        </w:rPr>
      </w:pPr>
      <w:r w:rsidRPr="0005241E">
        <w:rPr>
          <w:rFonts w:asciiTheme="majorBidi" w:eastAsia="Tahoma" w:hAnsiTheme="majorBidi" w:cstheme="majorBidi"/>
          <w:sz w:val="24"/>
          <w:szCs w:val="24"/>
        </w:rPr>
        <w:t>Ruang Lingkup Penelitian</w:t>
      </w:r>
    </w:p>
    <w:p w:rsidR="00AC04FB" w:rsidRPr="0005241E" w:rsidRDefault="00AC04FB" w:rsidP="00EA54D7">
      <w:pPr>
        <w:tabs>
          <w:tab w:val="left" w:pos="4507"/>
          <w:tab w:val="left" w:pos="9356"/>
        </w:tabs>
        <w:spacing w:line="353" w:lineRule="auto"/>
        <w:ind w:left="426" w:right="-29"/>
        <w:jc w:val="both"/>
        <w:rPr>
          <w:rFonts w:asciiTheme="majorBidi" w:eastAsia="Tahoma" w:hAnsiTheme="majorBidi" w:cstheme="majorBidi"/>
          <w:sz w:val="24"/>
          <w:szCs w:val="24"/>
        </w:rPr>
      </w:pPr>
      <w:r w:rsidRPr="0005241E">
        <w:rPr>
          <w:rFonts w:asciiTheme="majorBidi" w:eastAsia="Tahoma" w:hAnsiTheme="majorBidi" w:cstheme="majorBidi"/>
          <w:sz w:val="24"/>
          <w:szCs w:val="24"/>
        </w:rPr>
        <w:t>Mengingat begitu luasnya ruang lingkup kegiatan ekonomi syariah, maka dalam penelitian ini, ruang lingkup penelitian dibatasi hanya pada bidang perbankan syariah.</w:t>
      </w:r>
    </w:p>
    <w:p w:rsidR="00AC04FB" w:rsidRPr="0005241E" w:rsidRDefault="00AC04FB" w:rsidP="00AC04FB">
      <w:pPr>
        <w:numPr>
          <w:ilvl w:val="0"/>
          <w:numId w:val="40"/>
        </w:numPr>
        <w:tabs>
          <w:tab w:val="left" w:pos="9356"/>
        </w:tabs>
        <w:spacing w:after="0" w:line="0" w:lineRule="atLeast"/>
        <w:ind w:left="426" w:hanging="426"/>
        <w:rPr>
          <w:rFonts w:asciiTheme="majorBidi" w:eastAsia="Tahoma" w:hAnsiTheme="majorBidi" w:cstheme="majorBidi"/>
          <w:sz w:val="24"/>
          <w:szCs w:val="24"/>
        </w:rPr>
      </w:pPr>
      <w:r w:rsidRPr="0005241E">
        <w:rPr>
          <w:rFonts w:asciiTheme="majorBidi" w:eastAsia="Tahoma" w:hAnsiTheme="majorBidi" w:cstheme="majorBidi"/>
          <w:sz w:val="24"/>
          <w:szCs w:val="24"/>
        </w:rPr>
        <w:t>Kegunaan Penelitian</w:t>
      </w:r>
    </w:p>
    <w:p w:rsidR="00AC04FB" w:rsidRPr="0005241E" w:rsidRDefault="00AC04FB" w:rsidP="00AC04FB">
      <w:pPr>
        <w:tabs>
          <w:tab w:val="left" w:pos="9356"/>
        </w:tabs>
        <w:spacing w:line="141" w:lineRule="exact"/>
        <w:rPr>
          <w:rFonts w:asciiTheme="majorBidi" w:eastAsia="Tahoma" w:hAnsiTheme="majorBidi" w:cstheme="majorBidi"/>
          <w:sz w:val="24"/>
          <w:szCs w:val="24"/>
        </w:rPr>
      </w:pPr>
    </w:p>
    <w:p w:rsidR="00AC04FB" w:rsidRDefault="00AC04FB" w:rsidP="00AC04FB">
      <w:pPr>
        <w:pStyle w:val="ListParagraph"/>
        <w:spacing w:line="360" w:lineRule="auto"/>
        <w:ind w:left="0"/>
        <w:jc w:val="both"/>
        <w:rPr>
          <w:rFonts w:asciiTheme="majorBidi" w:eastAsia="Tahoma" w:hAnsiTheme="majorBidi" w:cstheme="majorBidi"/>
          <w:sz w:val="24"/>
          <w:szCs w:val="24"/>
        </w:rPr>
      </w:pPr>
      <w:r w:rsidRPr="0005241E">
        <w:rPr>
          <w:rFonts w:asciiTheme="majorBidi" w:eastAsia="Tahoma" w:hAnsiTheme="majorBidi" w:cstheme="majorBidi"/>
          <w:sz w:val="24"/>
          <w:szCs w:val="24"/>
        </w:rPr>
        <w:t>Melalui penelitian ini akan diperoleh data-data hasil penelitian terkait dengan berbagai permasalahan Fatwa MUI sebagaimana tersebut di atas yang diperlukan di masa-masa yang akan datang dalam mendorong pelaksanaan</w:t>
      </w:r>
      <w:bookmarkStart w:id="1" w:name="page14"/>
      <w:bookmarkEnd w:id="1"/>
      <w:r>
        <w:rPr>
          <w:rFonts w:asciiTheme="majorBidi" w:eastAsia="Tahoma" w:hAnsiTheme="majorBidi" w:cstheme="majorBidi"/>
          <w:sz w:val="24"/>
          <w:szCs w:val="24"/>
        </w:rPr>
        <w:t xml:space="preserve"> </w:t>
      </w:r>
      <w:r w:rsidRPr="0005241E">
        <w:rPr>
          <w:rFonts w:asciiTheme="majorBidi" w:eastAsia="Tahoma" w:hAnsiTheme="majorBidi" w:cstheme="majorBidi"/>
          <w:sz w:val="24"/>
          <w:szCs w:val="24"/>
        </w:rPr>
        <w:t xml:space="preserve">ekonomi syariah guna dijadikan sebagai bahan dalam </w:t>
      </w:r>
      <w:r w:rsidRPr="008A4E1D">
        <w:rPr>
          <w:rFonts w:asciiTheme="majorBidi" w:eastAsia="Tahoma" w:hAnsiTheme="majorBidi" w:cstheme="majorBidi"/>
          <w:sz w:val="24"/>
          <w:szCs w:val="24"/>
        </w:rPr>
        <w:t>mendukung pembentukan dan pengembangan hukum di Indonesia</w:t>
      </w:r>
    </w:p>
    <w:p w:rsidR="00477E6C" w:rsidRDefault="00477E6C" w:rsidP="00AC04FB">
      <w:pPr>
        <w:pStyle w:val="ListParagraph"/>
        <w:spacing w:line="360" w:lineRule="auto"/>
        <w:ind w:left="0"/>
        <w:jc w:val="both"/>
        <w:rPr>
          <w:rFonts w:asciiTheme="majorBidi" w:eastAsia="Tahoma" w:hAnsiTheme="majorBidi" w:cstheme="majorBidi"/>
          <w:sz w:val="24"/>
          <w:szCs w:val="24"/>
        </w:rPr>
      </w:pPr>
    </w:p>
    <w:p w:rsidR="00AC04FB" w:rsidRPr="00AC04FB" w:rsidRDefault="00AC04FB" w:rsidP="00AC04FB">
      <w:pPr>
        <w:pStyle w:val="ListParagraph"/>
        <w:numPr>
          <w:ilvl w:val="0"/>
          <w:numId w:val="40"/>
        </w:numPr>
        <w:spacing w:after="0"/>
        <w:ind w:left="284" w:hanging="284"/>
        <w:rPr>
          <w:rFonts w:ascii="Garamond" w:hAnsi="Garamond" w:cstheme="majorBidi"/>
          <w:b/>
          <w:color w:val="000000" w:themeColor="text1"/>
          <w:sz w:val="24"/>
          <w:szCs w:val="24"/>
        </w:rPr>
      </w:pPr>
      <w:r w:rsidRPr="00AC04FB">
        <w:rPr>
          <w:rFonts w:ascii="Garamond" w:hAnsi="Garamond" w:cstheme="majorBidi"/>
          <w:b/>
          <w:color w:val="000000" w:themeColor="text1"/>
          <w:sz w:val="24"/>
          <w:szCs w:val="24"/>
        </w:rPr>
        <w:t xml:space="preserve">Metodologi Penelitian </w:t>
      </w:r>
    </w:p>
    <w:p w:rsidR="00AC04FB" w:rsidRDefault="00AC04FB" w:rsidP="00AC04FB">
      <w:pPr>
        <w:spacing w:after="0"/>
        <w:rPr>
          <w:rFonts w:ascii="Garamond" w:hAnsi="Garamond" w:cstheme="majorBidi"/>
          <w:color w:val="000000" w:themeColor="text1"/>
          <w:sz w:val="24"/>
          <w:szCs w:val="24"/>
        </w:rPr>
      </w:pPr>
    </w:p>
    <w:p w:rsidR="00AC04FB" w:rsidRDefault="00AC04FB" w:rsidP="00AC04FB">
      <w:pPr>
        <w:spacing w:line="353" w:lineRule="auto"/>
        <w:ind w:right="-29"/>
        <w:jc w:val="both"/>
        <w:rPr>
          <w:rFonts w:asciiTheme="majorBidi" w:eastAsia="Tahoma" w:hAnsiTheme="majorBidi" w:cstheme="majorBidi"/>
          <w:sz w:val="24"/>
          <w:szCs w:val="24"/>
        </w:rPr>
      </w:pPr>
      <w:r w:rsidRPr="006A5786">
        <w:rPr>
          <w:rFonts w:asciiTheme="majorBidi" w:eastAsia="Tahoma" w:hAnsiTheme="majorBidi" w:cstheme="majorBidi"/>
          <w:sz w:val="24"/>
          <w:szCs w:val="24"/>
        </w:rPr>
        <w:lastRenderedPageBreak/>
        <w:t>Penelitian ini merupakan suatu penelitian yuridis sosiologis, yaitu meneliti tentang keberadaan Fatwa-fatwa MUI dan perkembangan ekonomi syariah dan bagaimana hubungan hukum antara fatwa MUI dan pelaksanaan ekonomi syariah di Indonesia dengan peraturan perundang-undangan yang berlaku.</w:t>
      </w:r>
    </w:p>
    <w:p w:rsidR="00AC04FB" w:rsidRDefault="00AC04FB" w:rsidP="00AC04FB">
      <w:pPr>
        <w:pStyle w:val="ListParagraph"/>
        <w:numPr>
          <w:ilvl w:val="0"/>
          <w:numId w:val="39"/>
        </w:numPr>
        <w:spacing w:line="353" w:lineRule="auto"/>
        <w:ind w:left="284" w:right="-29" w:hanging="284"/>
        <w:jc w:val="both"/>
        <w:rPr>
          <w:rFonts w:asciiTheme="majorBidi" w:eastAsia="Tahoma" w:hAnsiTheme="majorBidi" w:cstheme="majorBidi"/>
          <w:sz w:val="24"/>
          <w:szCs w:val="24"/>
        </w:rPr>
      </w:pPr>
      <w:r w:rsidRPr="00AC04FB">
        <w:rPr>
          <w:rFonts w:asciiTheme="majorBidi" w:eastAsia="Tahoma" w:hAnsiTheme="majorBidi" w:cstheme="majorBidi"/>
          <w:sz w:val="24"/>
          <w:szCs w:val="24"/>
        </w:rPr>
        <w:t>Sifat Penelitian</w:t>
      </w:r>
    </w:p>
    <w:p w:rsidR="00AC04FB" w:rsidRPr="00AC04FB" w:rsidRDefault="00AC04FB" w:rsidP="00AC04FB">
      <w:pPr>
        <w:pStyle w:val="ListParagraph"/>
        <w:spacing w:line="353" w:lineRule="auto"/>
        <w:ind w:left="284" w:right="-29"/>
        <w:jc w:val="both"/>
        <w:rPr>
          <w:rFonts w:asciiTheme="majorBidi" w:eastAsia="Tahoma" w:hAnsiTheme="majorBidi" w:cstheme="majorBidi"/>
          <w:sz w:val="24"/>
          <w:szCs w:val="24"/>
        </w:rPr>
      </w:pPr>
      <w:r w:rsidRPr="00AC04FB">
        <w:rPr>
          <w:rFonts w:asciiTheme="majorBidi" w:eastAsia="Tahoma" w:hAnsiTheme="majorBidi" w:cstheme="majorBidi"/>
          <w:sz w:val="24"/>
          <w:szCs w:val="24"/>
        </w:rPr>
        <w:t>Penelitian ini bersifat deskriptif, yaitu penelitian hukum dimana pengetahuan atau teori tentang obyek sudah ada dan ingin memberikan gambaran tentang obyek penelitian.</w:t>
      </w:r>
    </w:p>
    <w:p w:rsidR="00AC04FB" w:rsidRDefault="00AC04FB" w:rsidP="00AC04FB">
      <w:pPr>
        <w:pStyle w:val="ListParagraph"/>
        <w:numPr>
          <w:ilvl w:val="0"/>
          <w:numId w:val="39"/>
        </w:numPr>
        <w:tabs>
          <w:tab w:val="left" w:pos="9356"/>
        </w:tabs>
        <w:spacing w:line="0" w:lineRule="atLeast"/>
        <w:ind w:left="284" w:right="-29" w:hanging="284"/>
        <w:rPr>
          <w:rFonts w:asciiTheme="majorBidi" w:eastAsia="Tahoma" w:hAnsiTheme="majorBidi" w:cstheme="majorBidi"/>
          <w:sz w:val="24"/>
          <w:szCs w:val="24"/>
        </w:rPr>
      </w:pPr>
      <w:r w:rsidRPr="00AC04FB">
        <w:rPr>
          <w:rFonts w:asciiTheme="majorBidi" w:eastAsia="Tahoma" w:hAnsiTheme="majorBidi" w:cstheme="majorBidi"/>
          <w:sz w:val="24"/>
          <w:szCs w:val="24"/>
        </w:rPr>
        <w:t>Data Penelitian</w:t>
      </w:r>
    </w:p>
    <w:p w:rsidR="00AC04FB" w:rsidRDefault="00AC04FB" w:rsidP="00AC04FB">
      <w:pPr>
        <w:pStyle w:val="ListParagraph"/>
        <w:tabs>
          <w:tab w:val="left" w:pos="9356"/>
        </w:tabs>
        <w:spacing w:line="0" w:lineRule="atLeast"/>
        <w:ind w:left="284" w:right="-29"/>
        <w:rPr>
          <w:rFonts w:asciiTheme="majorBidi" w:eastAsia="Tahoma" w:hAnsiTheme="majorBidi" w:cstheme="majorBidi"/>
          <w:sz w:val="24"/>
          <w:szCs w:val="24"/>
        </w:rPr>
      </w:pPr>
    </w:p>
    <w:p w:rsidR="00AC04FB" w:rsidRPr="00AC04FB" w:rsidRDefault="00AC04FB" w:rsidP="00AC04FB">
      <w:pPr>
        <w:pStyle w:val="ListParagraph"/>
        <w:tabs>
          <w:tab w:val="left" w:pos="9356"/>
        </w:tabs>
        <w:spacing w:line="360" w:lineRule="auto"/>
        <w:ind w:left="284" w:right="-29"/>
        <w:jc w:val="both"/>
        <w:rPr>
          <w:rFonts w:asciiTheme="majorBidi" w:eastAsia="Tahoma" w:hAnsiTheme="majorBidi" w:cstheme="majorBidi"/>
          <w:sz w:val="24"/>
          <w:szCs w:val="24"/>
        </w:rPr>
      </w:pPr>
      <w:r w:rsidRPr="00AC04FB">
        <w:rPr>
          <w:rFonts w:asciiTheme="majorBidi" w:eastAsia="Tahoma" w:hAnsiTheme="majorBidi" w:cstheme="majorBidi"/>
          <w:sz w:val="24"/>
          <w:szCs w:val="24"/>
        </w:rPr>
        <w:t xml:space="preserve">Data penelitian yang digunakan dalam penelitian ini berupa data primer dan data sekunder. Data primer yang digunakan yaitu data yang diperoleh langsung dari objek penelitian yang diperoleh melalui cara wawancara kepada pempinan lembaga keuangan syariah di sumatera barat. Diataranya bank mandiri syariah cabang kota padang, BPRS haji Miskin, BPRS Ampek angkek Canduang, BPRS Al-makmur payakumbuh dan Bank Muamalat Indonesia Cabang Bukitinggi. </w:t>
      </w:r>
    </w:p>
    <w:p w:rsidR="00AC04FB" w:rsidRPr="00AC04FB" w:rsidRDefault="00AC04FB" w:rsidP="00AC04FB">
      <w:pPr>
        <w:pStyle w:val="ListParagraph"/>
        <w:numPr>
          <w:ilvl w:val="0"/>
          <w:numId w:val="39"/>
        </w:numPr>
        <w:tabs>
          <w:tab w:val="left" w:pos="9356"/>
        </w:tabs>
        <w:spacing w:line="0" w:lineRule="atLeast"/>
        <w:ind w:left="284" w:right="-29" w:hanging="284"/>
        <w:rPr>
          <w:rFonts w:asciiTheme="majorBidi" w:eastAsia="Tahoma" w:hAnsiTheme="majorBidi" w:cstheme="majorBidi"/>
          <w:sz w:val="24"/>
          <w:szCs w:val="24"/>
        </w:rPr>
      </w:pPr>
      <w:r w:rsidRPr="00AC04FB">
        <w:rPr>
          <w:rFonts w:asciiTheme="majorBidi" w:eastAsia="Tahoma" w:hAnsiTheme="majorBidi" w:cstheme="majorBidi"/>
          <w:sz w:val="24"/>
          <w:szCs w:val="24"/>
        </w:rPr>
        <w:t>Analisis Data Penelitian</w:t>
      </w:r>
    </w:p>
    <w:p w:rsidR="00AC04FB" w:rsidRPr="00EA2B4C" w:rsidRDefault="00AC04FB" w:rsidP="00AC04FB">
      <w:pPr>
        <w:tabs>
          <w:tab w:val="left" w:pos="9356"/>
        </w:tabs>
        <w:spacing w:line="353" w:lineRule="auto"/>
        <w:ind w:left="284" w:right="-29"/>
        <w:jc w:val="both"/>
        <w:rPr>
          <w:rFonts w:asciiTheme="majorBidi" w:eastAsia="Tahoma" w:hAnsiTheme="majorBidi" w:cstheme="majorBidi"/>
          <w:sz w:val="24"/>
          <w:szCs w:val="24"/>
        </w:rPr>
      </w:pPr>
      <w:bookmarkStart w:id="2" w:name="page20"/>
      <w:bookmarkEnd w:id="2"/>
      <w:r w:rsidRPr="00D674EA">
        <w:rPr>
          <w:rFonts w:asciiTheme="majorBidi" w:eastAsia="Tahoma" w:hAnsiTheme="majorBidi" w:cstheme="majorBidi"/>
          <w:sz w:val="24"/>
          <w:szCs w:val="24"/>
        </w:rPr>
        <w:t>Terhadap data-data penelitian yang didapatkan akan dianalisa secara kualitatif yang bertujuan untuk mendeskripsikan rumusan jawaban atas permasalahan yang dikemukan dalam penelitian ini.</w:t>
      </w:r>
    </w:p>
    <w:p w:rsidR="00AC04FB" w:rsidRPr="00EA54D7" w:rsidRDefault="00AC04FB" w:rsidP="00AC04FB">
      <w:pPr>
        <w:pStyle w:val="ListParagraph"/>
        <w:numPr>
          <w:ilvl w:val="0"/>
          <w:numId w:val="40"/>
        </w:numPr>
        <w:spacing w:after="0"/>
        <w:ind w:left="284" w:hanging="284"/>
        <w:rPr>
          <w:rFonts w:ascii="Garamond" w:hAnsi="Garamond" w:cstheme="majorBidi"/>
          <w:b/>
          <w:color w:val="000000" w:themeColor="text1"/>
          <w:sz w:val="24"/>
          <w:szCs w:val="24"/>
        </w:rPr>
      </w:pPr>
      <w:r w:rsidRPr="00EA54D7">
        <w:rPr>
          <w:rFonts w:ascii="Garamond" w:hAnsi="Garamond" w:cstheme="majorBidi"/>
          <w:b/>
          <w:color w:val="000000" w:themeColor="text1"/>
          <w:sz w:val="24"/>
          <w:szCs w:val="24"/>
        </w:rPr>
        <w:lastRenderedPageBreak/>
        <w:t xml:space="preserve">Hasil Penelitian </w:t>
      </w:r>
    </w:p>
    <w:p w:rsidR="00EA54D7" w:rsidRPr="00AC04FB" w:rsidRDefault="00EA54D7" w:rsidP="00EA54D7">
      <w:pPr>
        <w:pStyle w:val="ListParagraph"/>
        <w:spacing w:after="0"/>
        <w:ind w:left="284"/>
        <w:rPr>
          <w:rFonts w:ascii="Garamond" w:hAnsi="Garamond" w:cstheme="majorBidi"/>
          <w:color w:val="000000" w:themeColor="text1"/>
          <w:sz w:val="24"/>
          <w:szCs w:val="24"/>
        </w:rPr>
      </w:pPr>
    </w:p>
    <w:p w:rsidR="00EA54D7" w:rsidRPr="00EA54D7" w:rsidRDefault="00EA54D7" w:rsidP="00EA54D7">
      <w:pPr>
        <w:tabs>
          <w:tab w:val="left" w:pos="1440"/>
        </w:tabs>
        <w:spacing w:after="0" w:line="352" w:lineRule="auto"/>
        <w:ind w:left="284" w:right="435" w:hanging="284"/>
        <w:jc w:val="both"/>
        <w:rPr>
          <w:rFonts w:asciiTheme="majorBidi" w:eastAsia="Tahoma" w:hAnsiTheme="majorBidi" w:cstheme="majorBidi"/>
          <w:sz w:val="24"/>
          <w:szCs w:val="24"/>
        </w:rPr>
      </w:pPr>
      <w:r>
        <w:rPr>
          <w:rFonts w:asciiTheme="majorBidi" w:eastAsia="Tahoma" w:hAnsiTheme="majorBidi" w:cstheme="majorBidi"/>
          <w:sz w:val="24"/>
          <w:szCs w:val="24"/>
        </w:rPr>
        <w:t xml:space="preserve">1. </w:t>
      </w:r>
      <w:r w:rsidRPr="00EA54D7">
        <w:rPr>
          <w:rFonts w:asciiTheme="majorBidi" w:eastAsia="Tahoma" w:hAnsiTheme="majorBidi" w:cstheme="majorBidi"/>
          <w:b/>
          <w:sz w:val="24"/>
          <w:szCs w:val="24"/>
        </w:rPr>
        <w:t>Bagaimana kedudukan Fatwa DSN–MUI dalam perspektif hukum perbankan syariah di Indonesia</w:t>
      </w:r>
    </w:p>
    <w:p w:rsidR="00EA54D7" w:rsidRPr="0015372C" w:rsidRDefault="00EA54D7" w:rsidP="00EA54D7">
      <w:pPr>
        <w:spacing w:line="360" w:lineRule="auto"/>
        <w:ind w:right="4" w:firstLine="284"/>
        <w:jc w:val="both"/>
        <w:rPr>
          <w:rFonts w:asciiTheme="majorBidi" w:hAnsiTheme="majorBidi" w:cstheme="majorBidi"/>
          <w:sz w:val="24"/>
          <w:szCs w:val="24"/>
        </w:rPr>
      </w:pPr>
      <w:r>
        <w:rPr>
          <w:rFonts w:asciiTheme="majorBidi" w:eastAsia="Book Antiqua" w:hAnsiTheme="majorBidi" w:cstheme="majorBidi"/>
          <w:sz w:val="24"/>
          <w:szCs w:val="24"/>
        </w:rPr>
        <w:t xml:space="preserve">          </w:t>
      </w:r>
      <w:r w:rsidRPr="0015372C">
        <w:rPr>
          <w:rFonts w:asciiTheme="majorBidi" w:eastAsia="Book Antiqua" w:hAnsiTheme="majorBidi" w:cstheme="majorBidi"/>
          <w:sz w:val="24"/>
          <w:szCs w:val="24"/>
        </w:rPr>
        <w:t>Fatwa adalah sebuah istilah mengenai pendapat atau tafsiran pada suatu masalah yang berkaitan dengan hukum Islam. Fatwa dalam bahasa Arab berarti nasihat, petuah, jawaban atau pendapat. Adapun yang dimaksud adalah sebuah keputusan atau nasihat resmi yang diambil oleh sebuah lembaga atau perorangan yang diakui otoritasnya, disampaikan oleh seorang mufti atau ulama, sebagai tanggapan atau jawaban terhadap pertanyaan yang diajukan oleh peminta fatwa (</w:t>
      </w:r>
      <w:r w:rsidRPr="0015372C">
        <w:rPr>
          <w:rFonts w:asciiTheme="majorBidi" w:eastAsia="Book Antiqua" w:hAnsiTheme="majorBidi" w:cstheme="majorBidi"/>
          <w:i/>
          <w:iCs/>
          <w:sz w:val="24"/>
          <w:szCs w:val="24"/>
        </w:rPr>
        <w:t>mustaftî</w:t>
      </w:r>
      <w:r w:rsidRPr="0015372C">
        <w:rPr>
          <w:rFonts w:asciiTheme="majorBidi" w:eastAsia="Book Antiqua" w:hAnsiTheme="majorBidi" w:cstheme="majorBidi"/>
          <w:sz w:val="24"/>
          <w:szCs w:val="24"/>
        </w:rPr>
        <w:t xml:space="preserve">) yang tidak mempunyai keterikatan. Penggunaannya dalam kehidupan beragama di Indonesia, fatwa dikeluarkan oleh MUI sebagai suatu keputusan tentang persoalan </w:t>
      </w:r>
      <w:r w:rsidRPr="0015372C">
        <w:rPr>
          <w:rFonts w:asciiTheme="majorBidi" w:eastAsia="Book Antiqua" w:hAnsiTheme="majorBidi" w:cstheme="majorBidi"/>
          <w:i/>
          <w:iCs/>
          <w:sz w:val="24"/>
          <w:szCs w:val="24"/>
        </w:rPr>
        <w:t xml:space="preserve">ijtihâdiyah </w:t>
      </w:r>
      <w:r w:rsidRPr="0015372C">
        <w:rPr>
          <w:rFonts w:asciiTheme="majorBidi" w:eastAsia="Book Antiqua" w:hAnsiTheme="majorBidi" w:cstheme="majorBidi"/>
          <w:sz w:val="24"/>
          <w:szCs w:val="24"/>
        </w:rPr>
        <w:t>yang terjadi di Indonesia guna dijadikan pegangan.</w:t>
      </w:r>
      <w:r w:rsidR="00C467DB">
        <w:rPr>
          <w:rStyle w:val="FootnoteReference"/>
          <w:rFonts w:asciiTheme="majorBidi" w:eastAsia="Book Antiqua" w:hAnsiTheme="majorBidi" w:cstheme="majorBidi"/>
          <w:sz w:val="24"/>
          <w:szCs w:val="24"/>
        </w:rPr>
        <w:footnoteReference w:id="6"/>
      </w:r>
      <w:r w:rsidRPr="0015372C">
        <w:rPr>
          <w:rFonts w:asciiTheme="majorBidi" w:eastAsia="Book Antiqua" w:hAnsiTheme="majorBidi" w:cstheme="majorBidi"/>
          <w:sz w:val="24"/>
          <w:szCs w:val="24"/>
        </w:rPr>
        <w:t xml:space="preserve"> Dengan demikian dapat dikatakan bahwa fatwa merupakan salah satu produk hukum Islam atas berbagai permasalahan yang terjadi dan belum pernah ada di zaman Rasulullah SAW.</w:t>
      </w:r>
      <w:r w:rsidR="00C467DB">
        <w:rPr>
          <w:rStyle w:val="FootnoteReference"/>
          <w:rFonts w:asciiTheme="majorBidi" w:eastAsia="Book Antiqua" w:hAnsiTheme="majorBidi" w:cstheme="majorBidi"/>
          <w:sz w:val="24"/>
          <w:szCs w:val="24"/>
        </w:rPr>
        <w:footnoteReference w:id="7"/>
      </w:r>
      <w:r w:rsidRPr="0015372C">
        <w:rPr>
          <w:rFonts w:asciiTheme="majorBidi" w:eastAsia="Book Antiqua" w:hAnsiTheme="majorBidi" w:cstheme="majorBidi"/>
          <w:sz w:val="24"/>
          <w:szCs w:val="24"/>
        </w:rPr>
        <w:t xml:space="preserve"> Sementara itu diketahui bahwa sumber hukum Islam terdiri dari al-Quran, al-Sunnah, </w:t>
      </w:r>
      <w:r w:rsidRPr="0015372C">
        <w:rPr>
          <w:rFonts w:asciiTheme="majorBidi" w:eastAsia="Book Antiqua" w:hAnsiTheme="majorBidi" w:cstheme="majorBidi"/>
          <w:sz w:val="24"/>
          <w:szCs w:val="24"/>
        </w:rPr>
        <w:lastRenderedPageBreak/>
        <w:t xml:space="preserve">dan </w:t>
      </w:r>
      <w:r w:rsidRPr="0015372C">
        <w:rPr>
          <w:rFonts w:asciiTheme="majorBidi" w:eastAsia="Book Antiqua" w:hAnsiTheme="majorBidi" w:cstheme="majorBidi"/>
          <w:i/>
          <w:iCs/>
          <w:sz w:val="24"/>
          <w:szCs w:val="24"/>
        </w:rPr>
        <w:t>ra’yu</w:t>
      </w:r>
      <w:r w:rsidRPr="0015372C">
        <w:rPr>
          <w:rFonts w:asciiTheme="majorBidi" w:eastAsia="Book Antiqua" w:hAnsiTheme="majorBidi" w:cstheme="majorBidi"/>
          <w:sz w:val="24"/>
          <w:szCs w:val="24"/>
        </w:rPr>
        <w:t xml:space="preserve"> (akal fikiran manusia) dengan berbagai metode diantaranya adalah ijma, </w:t>
      </w:r>
      <w:r w:rsidRPr="0015372C">
        <w:rPr>
          <w:rFonts w:asciiTheme="majorBidi" w:eastAsia="Book Antiqua" w:hAnsiTheme="majorBidi" w:cstheme="majorBidi"/>
          <w:i/>
          <w:iCs/>
          <w:sz w:val="24"/>
          <w:szCs w:val="24"/>
        </w:rPr>
        <w:t>qiyas, istihsan, istishab, al-masalih al-mursalah,</w:t>
      </w:r>
      <w:r w:rsidRPr="0015372C">
        <w:rPr>
          <w:rFonts w:asciiTheme="majorBidi" w:eastAsia="Book Antiqua" w:hAnsiTheme="majorBidi" w:cstheme="majorBidi"/>
          <w:sz w:val="24"/>
          <w:szCs w:val="24"/>
        </w:rPr>
        <w:t xml:space="preserve"> dan </w:t>
      </w:r>
      <w:r w:rsidRPr="0015372C">
        <w:rPr>
          <w:rFonts w:asciiTheme="majorBidi" w:eastAsia="Book Antiqua" w:hAnsiTheme="majorBidi" w:cstheme="majorBidi"/>
          <w:i/>
          <w:iCs/>
          <w:sz w:val="24"/>
          <w:szCs w:val="24"/>
        </w:rPr>
        <w:t>`urf</w:t>
      </w:r>
      <w:r w:rsidRPr="0015372C">
        <w:rPr>
          <w:rFonts w:asciiTheme="majorBidi" w:eastAsia="Book Antiqua" w:hAnsiTheme="majorBidi" w:cstheme="majorBidi"/>
          <w:sz w:val="24"/>
          <w:szCs w:val="24"/>
        </w:rPr>
        <w:t xml:space="preserve">. </w:t>
      </w:r>
      <w:r w:rsidRPr="0015372C">
        <w:rPr>
          <w:rFonts w:asciiTheme="majorBidi" w:eastAsia="Book Antiqua" w:hAnsiTheme="majorBidi" w:cstheme="majorBidi"/>
          <w:i/>
          <w:iCs/>
          <w:sz w:val="24"/>
          <w:szCs w:val="24"/>
        </w:rPr>
        <w:t>Ijma</w:t>
      </w:r>
      <w:r w:rsidRPr="0015372C">
        <w:rPr>
          <w:rFonts w:asciiTheme="majorBidi" w:eastAsia="Book Antiqua" w:hAnsiTheme="majorBidi" w:cstheme="majorBidi"/>
          <w:sz w:val="24"/>
          <w:szCs w:val="24"/>
        </w:rPr>
        <w:t xml:space="preserve">’ adalah persetujuan atau kesesuaian pendapat para ahli mengenai masalah pada suatu tempat di suatu masa. Dengan demikian fatwa merupakan ketentuan hukum Islam yang diterbitkan berdasarkan pemikiran dan ijtihad dengan cara </w:t>
      </w:r>
      <w:r w:rsidRPr="0015372C">
        <w:rPr>
          <w:rFonts w:asciiTheme="majorBidi" w:eastAsia="Book Antiqua" w:hAnsiTheme="majorBidi" w:cstheme="majorBidi"/>
          <w:i/>
          <w:iCs/>
          <w:sz w:val="24"/>
          <w:szCs w:val="24"/>
        </w:rPr>
        <w:t>ijma’</w:t>
      </w:r>
      <w:r w:rsidRPr="0015372C">
        <w:rPr>
          <w:rFonts w:asciiTheme="majorBidi" w:eastAsia="Book Antiqua" w:hAnsiTheme="majorBidi" w:cstheme="majorBidi"/>
          <w:sz w:val="24"/>
          <w:szCs w:val="24"/>
        </w:rPr>
        <w:t xml:space="preserve">. Namun, fatwa tidak sama persis dengan </w:t>
      </w:r>
      <w:r w:rsidRPr="0015372C">
        <w:rPr>
          <w:rFonts w:asciiTheme="majorBidi" w:eastAsia="Book Antiqua" w:hAnsiTheme="majorBidi" w:cstheme="majorBidi"/>
          <w:i/>
          <w:iCs/>
          <w:sz w:val="24"/>
          <w:szCs w:val="24"/>
        </w:rPr>
        <w:t>ijma</w:t>
      </w:r>
      <w:r w:rsidRPr="0015372C">
        <w:rPr>
          <w:rFonts w:asciiTheme="majorBidi" w:eastAsia="Book Antiqua" w:hAnsiTheme="majorBidi" w:cstheme="majorBidi"/>
          <w:sz w:val="24"/>
          <w:szCs w:val="24"/>
        </w:rPr>
        <w:t xml:space="preserve"> karena didalam </w:t>
      </w:r>
      <w:r w:rsidRPr="0015372C">
        <w:rPr>
          <w:rFonts w:asciiTheme="majorBidi" w:eastAsia="Book Antiqua" w:hAnsiTheme="majorBidi" w:cstheme="majorBidi"/>
          <w:i/>
          <w:iCs/>
          <w:sz w:val="24"/>
          <w:szCs w:val="24"/>
        </w:rPr>
        <w:t>ijma</w:t>
      </w:r>
      <w:r w:rsidRPr="0015372C">
        <w:rPr>
          <w:rFonts w:asciiTheme="majorBidi" w:eastAsia="Book Antiqua" w:hAnsiTheme="majorBidi" w:cstheme="majorBidi"/>
          <w:sz w:val="24"/>
          <w:szCs w:val="24"/>
        </w:rPr>
        <w:t xml:space="preserve"> telah terjadi kesepakatan/tidak ada perbedaan pendapat atas suatu masalah (yang diminta ataupun tidak diminta). didalam melaksanakan tugasnya memberikan fatwa, MUI memiliki pedoman dasar dan prosedur yang dirumuskan dialam Keputusan No. U-596/MUI/X/1997 yang ditetapka</w:t>
      </w:r>
      <w:r>
        <w:rPr>
          <w:rFonts w:asciiTheme="majorBidi" w:eastAsia="Book Antiqua" w:hAnsiTheme="majorBidi" w:cstheme="majorBidi"/>
          <w:sz w:val="24"/>
          <w:szCs w:val="24"/>
        </w:rPr>
        <w:t>n pada tanggal 2 Oktober 1997.</w:t>
      </w:r>
      <w:r w:rsidRPr="0015372C">
        <w:rPr>
          <w:rFonts w:asciiTheme="majorBidi" w:eastAsia="Book Antiqua" w:hAnsiTheme="majorBidi" w:cstheme="majorBidi"/>
          <w:sz w:val="24"/>
          <w:szCs w:val="24"/>
        </w:rPr>
        <w:t xml:space="preserve"> Untuk memperjelas dasar-dasar dalam memberikan fatwa, berikut rincian dimaksud:</w:t>
      </w:r>
    </w:p>
    <w:p w:rsidR="00EA54D7" w:rsidRPr="0015372C" w:rsidRDefault="00EA54D7" w:rsidP="00EA54D7">
      <w:pPr>
        <w:numPr>
          <w:ilvl w:val="0"/>
          <w:numId w:val="42"/>
        </w:numPr>
        <w:tabs>
          <w:tab w:val="left" w:pos="284"/>
        </w:tabs>
        <w:spacing w:after="0" w:line="360" w:lineRule="auto"/>
        <w:ind w:left="284" w:right="4" w:hanging="284"/>
        <w:jc w:val="both"/>
        <w:rPr>
          <w:rFonts w:asciiTheme="majorBidi" w:eastAsia="Book Antiqua" w:hAnsiTheme="majorBidi" w:cstheme="majorBidi"/>
          <w:sz w:val="24"/>
          <w:szCs w:val="24"/>
        </w:rPr>
      </w:pPr>
      <w:r w:rsidRPr="0015372C">
        <w:rPr>
          <w:rFonts w:asciiTheme="majorBidi" w:eastAsia="Book Antiqua" w:hAnsiTheme="majorBidi" w:cstheme="majorBidi"/>
          <w:sz w:val="24"/>
          <w:szCs w:val="24"/>
        </w:rPr>
        <w:t xml:space="preserve">Setiap keputusan fatwa harus mempunyai dasar atas kitabullah dan sunnah Rasul yang </w:t>
      </w:r>
      <w:r w:rsidRPr="0015372C">
        <w:rPr>
          <w:rFonts w:asciiTheme="majorBidi" w:eastAsia="Book Antiqua" w:hAnsiTheme="majorBidi" w:cstheme="majorBidi"/>
          <w:i/>
          <w:iCs/>
          <w:sz w:val="24"/>
          <w:szCs w:val="24"/>
        </w:rPr>
        <w:t>mu’tabarak</w:t>
      </w:r>
      <w:r w:rsidRPr="0015372C">
        <w:rPr>
          <w:rFonts w:asciiTheme="majorBidi" w:eastAsia="Book Antiqua" w:hAnsiTheme="majorBidi" w:cstheme="majorBidi"/>
          <w:sz w:val="24"/>
          <w:szCs w:val="24"/>
        </w:rPr>
        <w:t xml:space="preserve"> serta tidak bertentangan dengan kemashlahatan umat</w:t>
      </w:r>
    </w:p>
    <w:p w:rsidR="00EA54D7" w:rsidRPr="0015372C" w:rsidRDefault="00EA54D7" w:rsidP="00EA54D7">
      <w:pPr>
        <w:numPr>
          <w:ilvl w:val="0"/>
          <w:numId w:val="42"/>
        </w:numPr>
        <w:tabs>
          <w:tab w:val="left" w:pos="284"/>
        </w:tabs>
        <w:spacing w:after="0" w:line="360" w:lineRule="auto"/>
        <w:ind w:left="284" w:right="4" w:hanging="284"/>
        <w:jc w:val="both"/>
        <w:rPr>
          <w:rFonts w:asciiTheme="majorBidi" w:eastAsia="Book Antiqua" w:hAnsiTheme="majorBidi" w:cstheme="majorBidi"/>
          <w:sz w:val="24"/>
          <w:szCs w:val="24"/>
        </w:rPr>
      </w:pPr>
      <w:r w:rsidRPr="0015372C">
        <w:rPr>
          <w:rFonts w:asciiTheme="majorBidi" w:eastAsia="Book Antiqua" w:hAnsiTheme="majorBidi" w:cstheme="majorBidi"/>
          <w:sz w:val="24"/>
          <w:szCs w:val="24"/>
        </w:rPr>
        <w:t xml:space="preserve">Jika tidak terdapat dalam Kitabullah dan Sunah Rasul sebagaimana ditentukan pada Pasal 2 Ayat 1, Keputusan Fatwa hendaklah tidak bertentangan dengan </w:t>
      </w:r>
      <w:r w:rsidRPr="0015372C">
        <w:rPr>
          <w:rFonts w:asciiTheme="majorBidi" w:eastAsia="Book Antiqua" w:hAnsiTheme="majorBidi" w:cstheme="majorBidi"/>
          <w:i/>
          <w:iCs/>
          <w:sz w:val="24"/>
          <w:szCs w:val="24"/>
        </w:rPr>
        <w:t>ijma, qiyas</w:t>
      </w:r>
      <w:r w:rsidRPr="0015372C">
        <w:rPr>
          <w:rFonts w:asciiTheme="majorBidi" w:eastAsia="Book Antiqua" w:hAnsiTheme="majorBidi" w:cstheme="majorBidi"/>
          <w:sz w:val="24"/>
          <w:szCs w:val="24"/>
        </w:rPr>
        <w:t xml:space="preserve"> yang </w:t>
      </w:r>
      <w:r w:rsidRPr="0015372C">
        <w:rPr>
          <w:rFonts w:asciiTheme="majorBidi" w:eastAsia="Book Antiqua" w:hAnsiTheme="majorBidi" w:cstheme="majorBidi"/>
          <w:i/>
          <w:iCs/>
          <w:sz w:val="24"/>
          <w:szCs w:val="24"/>
        </w:rPr>
        <w:t>mu’tabar</w:t>
      </w:r>
      <w:r w:rsidRPr="0015372C">
        <w:rPr>
          <w:rFonts w:asciiTheme="majorBidi" w:eastAsia="Book Antiqua" w:hAnsiTheme="majorBidi" w:cstheme="majorBidi"/>
          <w:sz w:val="24"/>
          <w:szCs w:val="24"/>
        </w:rPr>
        <w:t xml:space="preserve"> dan dalil-dalil hukum yang lain seperti </w:t>
      </w:r>
      <w:r w:rsidRPr="0015372C">
        <w:rPr>
          <w:rFonts w:asciiTheme="majorBidi" w:eastAsia="Book Antiqua" w:hAnsiTheme="majorBidi" w:cstheme="majorBidi"/>
          <w:i/>
          <w:iCs/>
          <w:sz w:val="24"/>
          <w:szCs w:val="24"/>
        </w:rPr>
        <w:t>istihsân</w:t>
      </w:r>
      <w:r w:rsidRPr="0015372C">
        <w:rPr>
          <w:rFonts w:asciiTheme="majorBidi" w:eastAsia="Book Antiqua" w:hAnsiTheme="majorBidi" w:cstheme="majorBidi"/>
          <w:sz w:val="24"/>
          <w:szCs w:val="24"/>
        </w:rPr>
        <w:t xml:space="preserve">, </w:t>
      </w:r>
      <w:r w:rsidRPr="0015372C">
        <w:rPr>
          <w:rFonts w:asciiTheme="majorBidi" w:eastAsia="Book Antiqua" w:hAnsiTheme="majorBidi" w:cstheme="majorBidi"/>
          <w:i/>
          <w:iCs/>
          <w:sz w:val="24"/>
          <w:szCs w:val="24"/>
        </w:rPr>
        <w:t>maslahah</w:t>
      </w:r>
      <w:r w:rsidRPr="0015372C">
        <w:rPr>
          <w:rFonts w:asciiTheme="majorBidi" w:eastAsia="Book Antiqua" w:hAnsiTheme="majorBidi" w:cstheme="majorBidi"/>
          <w:sz w:val="24"/>
          <w:szCs w:val="24"/>
        </w:rPr>
        <w:t xml:space="preserve"> </w:t>
      </w:r>
      <w:r w:rsidRPr="0015372C">
        <w:rPr>
          <w:rFonts w:asciiTheme="majorBidi" w:eastAsia="Book Antiqua" w:hAnsiTheme="majorBidi" w:cstheme="majorBidi"/>
          <w:i/>
          <w:iCs/>
          <w:sz w:val="24"/>
          <w:szCs w:val="24"/>
        </w:rPr>
        <w:t xml:space="preserve">mursalah </w:t>
      </w:r>
      <w:r w:rsidRPr="0015372C">
        <w:rPr>
          <w:rFonts w:asciiTheme="majorBidi" w:eastAsia="Book Antiqua" w:hAnsiTheme="majorBidi" w:cstheme="majorBidi"/>
          <w:sz w:val="24"/>
          <w:szCs w:val="24"/>
        </w:rPr>
        <w:t>dan</w:t>
      </w:r>
      <w:r w:rsidRPr="0015372C">
        <w:rPr>
          <w:rFonts w:asciiTheme="majorBidi" w:eastAsia="Book Antiqua" w:hAnsiTheme="majorBidi" w:cstheme="majorBidi"/>
          <w:i/>
          <w:iCs/>
          <w:sz w:val="24"/>
          <w:szCs w:val="24"/>
        </w:rPr>
        <w:t xml:space="preserve"> saddu al dzari’ah.</w:t>
      </w:r>
    </w:p>
    <w:p w:rsidR="00EA54D7" w:rsidRPr="0015372C" w:rsidRDefault="00EA54D7" w:rsidP="00EA54D7">
      <w:pPr>
        <w:numPr>
          <w:ilvl w:val="0"/>
          <w:numId w:val="42"/>
        </w:numPr>
        <w:tabs>
          <w:tab w:val="left" w:pos="284"/>
        </w:tabs>
        <w:spacing w:after="0" w:line="360" w:lineRule="auto"/>
        <w:ind w:left="284" w:right="4" w:hanging="284"/>
        <w:jc w:val="both"/>
        <w:rPr>
          <w:rFonts w:asciiTheme="majorBidi" w:eastAsia="Book Antiqua" w:hAnsiTheme="majorBidi" w:cstheme="majorBidi"/>
          <w:sz w:val="24"/>
          <w:szCs w:val="24"/>
        </w:rPr>
      </w:pPr>
      <w:r w:rsidRPr="0015372C">
        <w:rPr>
          <w:rFonts w:asciiTheme="majorBidi" w:eastAsia="Book Antiqua" w:hAnsiTheme="majorBidi" w:cstheme="majorBidi"/>
          <w:sz w:val="24"/>
          <w:szCs w:val="24"/>
        </w:rPr>
        <w:t xml:space="preserve">Sebelum pengambilan keputusan fatwa, hendaklah ditinjau pendapat-pendapat para </w:t>
      </w:r>
      <w:r w:rsidRPr="0015372C">
        <w:rPr>
          <w:rFonts w:asciiTheme="majorBidi" w:eastAsia="Book Antiqua" w:hAnsiTheme="majorBidi" w:cstheme="majorBidi"/>
          <w:sz w:val="24"/>
          <w:szCs w:val="24"/>
        </w:rPr>
        <w:lastRenderedPageBreak/>
        <w:t>imam madzhab terdahulu, baik yang berhubungan dengan dalil-dalil hukum yang berhubungan dengan dalil yang dipergunakan oleh pihak yang berbeda pendapat</w:t>
      </w:r>
    </w:p>
    <w:p w:rsidR="00EA54D7" w:rsidRDefault="00EA54D7" w:rsidP="00EA54D7">
      <w:pPr>
        <w:numPr>
          <w:ilvl w:val="0"/>
          <w:numId w:val="42"/>
        </w:numPr>
        <w:tabs>
          <w:tab w:val="left" w:pos="284"/>
        </w:tabs>
        <w:spacing w:after="0" w:line="360" w:lineRule="auto"/>
        <w:ind w:left="284" w:right="4" w:hanging="284"/>
        <w:jc w:val="both"/>
        <w:rPr>
          <w:rFonts w:asciiTheme="majorBidi" w:eastAsia="Book Antiqua" w:hAnsiTheme="majorBidi" w:cstheme="majorBidi"/>
          <w:sz w:val="24"/>
          <w:szCs w:val="24"/>
        </w:rPr>
      </w:pPr>
      <w:r w:rsidRPr="0015372C">
        <w:rPr>
          <w:rFonts w:asciiTheme="majorBidi" w:eastAsia="Book Antiqua" w:hAnsiTheme="majorBidi" w:cstheme="majorBidi"/>
          <w:sz w:val="24"/>
          <w:szCs w:val="24"/>
        </w:rPr>
        <w:t>Pandangan tenaga ahli dalam bidang masalah yang akan diambil keputusan fatwanya, dipertimbangka</w:t>
      </w:r>
    </w:p>
    <w:p w:rsidR="00EA54D7" w:rsidRPr="006A5786" w:rsidRDefault="00EA54D7" w:rsidP="00EA54D7">
      <w:pPr>
        <w:tabs>
          <w:tab w:val="left" w:pos="284"/>
        </w:tabs>
        <w:spacing w:after="0" w:line="360" w:lineRule="auto"/>
        <w:ind w:left="284" w:right="4"/>
        <w:jc w:val="both"/>
        <w:rPr>
          <w:rFonts w:asciiTheme="majorBidi" w:eastAsia="Book Antiqua" w:hAnsiTheme="majorBidi" w:cstheme="majorBidi"/>
          <w:sz w:val="24"/>
          <w:szCs w:val="24"/>
        </w:rPr>
      </w:pPr>
      <w:r>
        <w:rPr>
          <w:rFonts w:asciiTheme="majorBidi" w:eastAsia="Book Antiqua" w:hAnsiTheme="majorBidi" w:cstheme="majorBidi"/>
          <w:sz w:val="24"/>
          <w:szCs w:val="24"/>
        </w:rPr>
        <w:tab/>
        <w:t xml:space="preserve">   </w:t>
      </w:r>
      <w:r w:rsidRPr="006A5786">
        <w:rPr>
          <w:rFonts w:asciiTheme="majorBidi" w:eastAsia="Book Antiqua" w:hAnsiTheme="majorBidi" w:cstheme="majorBidi"/>
          <w:sz w:val="24"/>
          <w:szCs w:val="24"/>
        </w:rPr>
        <w:t>Mencermati peraturan yang dapat dikeluarkan oleh lembaga negara sebagaimana disebut diatas maka fatwa MUI tidak merupakan salah satu dari produk Peraturan Perundang Undangan sehingga fatwa MUI bukan peraturan yang mengikat karena MUI merupakan</w:t>
      </w:r>
      <w:r w:rsidRPr="006A5786">
        <w:rPr>
          <w:rFonts w:asciiTheme="majorBidi" w:hAnsiTheme="majorBidi" w:cstheme="majorBidi"/>
          <w:sz w:val="24"/>
          <w:szCs w:val="24"/>
        </w:rPr>
        <w:t xml:space="preserve"> </w:t>
      </w:r>
      <w:r w:rsidRPr="006A5786">
        <w:rPr>
          <w:rFonts w:asciiTheme="majorBidi" w:eastAsia="Book Antiqua" w:hAnsiTheme="majorBidi" w:cstheme="majorBidi"/>
          <w:sz w:val="24"/>
          <w:szCs w:val="24"/>
        </w:rPr>
        <w:t>organisasai alim ulama umat Islam dan bukan merupakan institusi milik Negara, bahkan fatwa MUI bukan merupakan hukum negara yang bisa dipaksakan dan tidak memiliki sanksi dan harus dit</w:t>
      </w:r>
      <w:r>
        <w:rPr>
          <w:rFonts w:asciiTheme="majorBidi" w:eastAsia="Book Antiqua" w:hAnsiTheme="majorBidi" w:cstheme="majorBidi"/>
          <w:sz w:val="24"/>
          <w:szCs w:val="24"/>
        </w:rPr>
        <w:t>aati oleh seluruh warganegara.</w:t>
      </w:r>
      <w:r w:rsidRPr="006A5786">
        <w:rPr>
          <w:rFonts w:asciiTheme="majorBidi" w:eastAsia="Book Antiqua" w:hAnsiTheme="majorBidi" w:cstheme="majorBidi"/>
          <w:sz w:val="24"/>
          <w:szCs w:val="24"/>
        </w:rPr>
        <w:t xml:space="preserve"> Menurut Mahfud MD, fatwa MUI merupakan pendapat keagamaan, bukan hukum positif yang boleh diikuti dan boleh tidak diikuti sehingga mereka yang melanggar fatwa MUI tidak boleh diberi sanksi atau hukuman. Fatwa itu mengikat pada diri sendiri dan tidak diatur dalam UU. Keberadaan fatwa MUI tidak dapat dipandang sebelah mata. Fatwa yang dilahirkan oleh MUI mendapat dukungan dari umat Islam.31 Banyak fatwa MUI (dalam hal ini yang dikeluarkan oleh DSN-Dewan Syariah Nasional yang dibentuk </w:t>
      </w:r>
      <w:r w:rsidRPr="006A5786">
        <w:rPr>
          <w:rFonts w:asciiTheme="majorBidi" w:eastAsia="Book Antiqua" w:hAnsiTheme="majorBidi" w:cstheme="majorBidi"/>
          <w:sz w:val="24"/>
          <w:szCs w:val="24"/>
        </w:rPr>
        <w:lastRenderedPageBreak/>
        <w:t>oleh MUI pada tahun 1998 berdasarkan SK Dewan Pimpinan MUI No. Kep-754/MUI/II/1999 yang intinya dibentuk dengan tugas dan kewenangan untuk memastikan kesesuaian antara produk, jasa, dan kegiatan usaha bank dengan prinsip syariah) yang telah ditransformasi ke dalam peraturan perundang-undangan seperti Peraturan Bank Indonesia dan Peraturan Otoritas Jasa Keuangan yang dipergunakan untuk mengatur aktivitas ekonomi syariah.</w:t>
      </w:r>
      <w:r w:rsidRPr="006A5786">
        <w:rPr>
          <w:rFonts w:asciiTheme="majorBidi" w:hAnsiTheme="majorBidi" w:cstheme="majorBidi"/>
          <w:sz w:val="24"/>
          <w:szCs w:val="24"/>
        </w:rPr>
        <w:t xml:space="preserve"> </w:t>
      </w:r>
      <w:r w:rsidR="006112F7">
        <w:rPr>
          <w:rFonts w:asciiTheme="majorBidi" w:hAnsiTheme="majorBidi" w:cstheme="majorBidi"/>
          <w:sz w:val="24"/>
          <w:szCs w:val="24"/>
        </w:rPr>
        <w:t>dalam pasal 3 pedoman dasar yang disyahkan dalam musyawarah tahun 1975, disebutkan bahwa MUI ikut serta dalam memwujudkan masyarakat yang aman dan damai sesuai dengan pancasila dan UUD 1945. Kemudian pada tahun 1990 dibentuknya DSN sebagai salah satu bagian dari MUI untuk memberikan Fatwa yang terkait dengan ekonomi syariah dan sebagai fatner dalam pengawasan lembaga keuangan syariah dengan otoritas Jasa keuangan (OJK)</w:t>
      </w:r>
      <w:r w:rsidR="00217DBD">
        <w:rPr>
          <w:rStyle w:val="FootnoteReference"/>
          <w:rFonts w:asciiTheme="majorBidi" w:hAnsiTheme="majorBidi" w:cstheme="majorBidi"/>
          <w:sz w:val="24"/>
          <w:szCs w:val="24"/>
        </w:rPr>
        <w:footnoteReference w:id="8"/>
      </w:r>
      <w:r w:rsidR="006112F7">
        <w:rPr>
          <w:rFonts w:asciiTheme="majorBidi" w:hAnsiTheme="majorBidi" w:cstheme="majorBidi"/>
          <w:sz w:val="24"/>
          <w:szCs w:val="24"/>
        </w:rPr>
        <w:t xml:space="preserve">. </w:t>
      </w:r>
    </w:p>
    <w:p w:rsidR="00EA54D7" w:rsidRPr="0015372C" w:rsidRDefault="00EA54D7" w:rsidP="00EA54D7">
      <w:pPr>
        <w:pStyle w:val="ListParagraph"/>
        <w:spacing w:line="360" w:lineRule="auto"/>
        <w:ind w:left="284" w:right="4" w:firstLine="436"/>
        <w:jc w:val="both"/>
        <w:rPr>
          <w:sz w:val="20"/>
          <w:szCs w:val="20"/>
        </w:rPr>
      </w:pPr>
      <w:r>
        <w:rPr>
          <w:rFonts w:asciiTheme="majorBidi" w:eastAsia="Book Antiqua" w:hAnsiTheme="majorBidi" w:cstheme="majorBidi"/>
          <w:sz w:val="24"/>
          <w:szCs w:val="24"/>
        </w:rPr>
        <w:t xml:space="preserve">    </w:t>
      </w:r>
      <w:r w:rsidRPr="00D077C1">
        <w:rPr>
          <w:rFonts w:asciiTheme="majorBidi" w:eastAsia="Book Antiqua" w:hAnsiTheme="majorBidi" w:cstheme="majorBidi"/>
          <w:sz w:val="24"/>
          <w:szCs w:val="24"/>
        </w:rPr>
        <w:t>Selain itu, saat ini dirasakan bahwa keabsahan produk (khususnya dalam perbankan syariah) b</w:t>
      </w:r>
      <w:r w:rsidR="00217DBD">
        <w:rPr>
          <w:rFonts w:asciiTheme="majorBidi" w:eastAsia="Book Antiqua" w:hAnsiTheme="majorBidi" w:cstheme="majorBidi"/>
          <w:sz w:val="24"/>
          <w:szCs w:val="24"/>
        </w:rPr>
        <w:t>elum cukup memadai secara forma</w:t>
      </w:r>
      <w:r w:rsidRPr="00D077C1">
        <w:rPr>
          <w:rFonts w:asciiTheme="majorBidi" w:eastAsia="Book Antiqua" w:hAnsiTheme="majorBidi" w:cstheme="majorBidi"/>
          <w:sz w:val="24"/>
          <w:szCs w:val="24"/>
        </w:rPr>
        <w:t>l maupun substansi untuk mewujudkan kepastian hukum bagi para pihak yang melakukan transaksi</w:t>
      </w:r>
      <w:r w:rsidR="000E68D9">
        <w:rPr>
          <w:rStyle w:val="FootnoteReference"/>
          <w:rFonts w:asciiTheme="majorBidi" w:eastAsia="Book Antiqua" w:hAnsiTheme="majorBidi" w:cstheme="majorBidi"/>
          <w:sz w:val="24"/>
          <w:szCs w:val="24"/>
        </w:rPr>
        <w:footnoteReference w:id="9"/>
      </w:r>
      <w:r w:rsidRPr="00D077C1">
        <w:rPr>
          <w:rFonts w:asciiTheme="majorBidi" w:eastAsia="Book Antiqua" w:hAnsiTheme="majorBidi" w:cstheme="majorBidi"/>
          <w:sz w:val="24"/>
          <w:szCs w:val="24"/>
        </w:rPr>
        <w:t>.</w:t>
      </w:r>
      <w:r w:rsidR="000E68D9" w:rsidRPr="00D077C1">
        <w:rPr>
          <w:rFonts w:asciiTheme="majorBidi" w:eastAsia="Book Antiqua" w:hAnsiTheme="majorBidi" w:cstheme="majorBidi"/>
          <w:sz w:val="24"/>
          <w:szCs w:val="24"/>
        </w:rPr>
        <w:t xml:space="preserve"> </w:t>
      </w:r>
      <w:r w:rsidRPr="00D077C1">
        <w:rPr>
          <w:rFonts w:asciiTheme="majorBidi" w:eastAsia="Book Antiqua" w:hAnsiTheme="majorBidi" w:cstheme="majorBidi"/>
          <w:sz w:val="24"/>
          <w:szCs w:val="24"/>
        </w:rPr>
        <w:lastRenderedPageBreak/>
        <w:t>Transformasi fatwa MUI ke dalam peraturan perundang-undangan sebenarnya bertujuan agar bersifat mengikat dan ditaati bagi seluruh pelaku bisnis syariah, namun dalam kenyataannya banyak fatwa MUI yang belum ditransformasikan kedalam Peraturan Perundang Undangan-pun ternyata telah dijadikan rujukan dan pedoman dalam operasionalisas</w:t>
      </w:r>
    </w:p>
    <w:p w:rsidR="00EA54D7" w:rsidRDefault="00EA54D7" w:rsidP="00EA54D7">
      <w:pPr>
        <w:pStyle w:val="ListParagraph"/>
        <w:spacing w:line="360" w:lineRule="auto"/>
        <w:ind w:left="284" w:right="4"/>
        <w:jc w:val="both"/>
        <w:rPr>
          <w:rFonts w:asciiTheme="majorBidi" w:hAnsiTheme="majorBidi" w:cstheme="majorBidi"/>
          <w:sz w:val="24"/>
          <w:szCs w:val="24"/>
        </w:rPr>
      </w:pPr>
      <w:r>
        <w:rPr>
          <w:rFonts w:asciiTheme="majorBidi" w:eastAsia="Book Antiqua" w:hAnsiTheme="majorBidi" w:cstheme="majorBidi"/>
          <w:sz w:val="24"/>
          <w:szCs w:val="24"/>
        </w:rPr>
        <w:t xml:space="preserve">               </w:t>
      </w:r>
      <w:r w:rsidRPr="00D077C1">
        <w:rPr>
          <w:rFonts w:asciiTheme="majorBidi" w:eastAsia="Book Antiqua" w:hAnsiTheme="majorBidi" w:cstheme="majorBidi"/>
          <w:sz w:val="24"/>
          <w:szCs w:val="24"/>
        </w:rPr>
        <w:t>aktivitas perbankan syariah yang secara internal dipergunakan atas rekomendasi dan pengawasan dari DPS (Dewan Pengawas Syariah) yang ada pada masing-masing bank syariah.</w:t>
      </w:r>
      <w:r w:rsidR="000E68D9">
        <w:rPr>
          <w:rStyle w:val="FootnoteReference"/>
          <w:rFonts w:asciiTheme="majorBidi" w:eastAsia="Book Antiqua" w:hAnsiTheme="majorBidi" w:cstheme="majorBidi"/>
          <w:sz w:val="24"/>
          <w:szCs w:val="24"/>
        </w:rPr>
        <w:footnoteReference w:id="10"/>
      </w:r>
      <w:r w:rsidRPr="00D077C1">
        <w:rPr>
          <w:rFonts w:asciiTheme="majorBidi" w:eastAsia="Book Antiqua" w:hAnsiTheme="majorBidi" w:cstheme="majorBidi"/>
          <w:sz w:val="24"/>
          <w:szCs w:val="24"/>
        </w:rPr>
        <w:t xml:space="preserve"> Hal ini mengingatkan pada konsep hukum yang dibangun oleh Kusumaatmadja bahwa hukum adalah keseluruhan kaedah dan asas yang mengatur kehidupan manusia dalam masyarakat termasuk lembaga dan proses didalam mewujudkan berlakuknya hukum dalam kenyataan.</w:t>
      </w:r>
      <w:r w:rsidR="000E68D9">
        <w:rPr>
          <w:rStyle w:val="FootnoteReference"/>
          <w:rFonts w:asciiTheme="majorBidi" w:eastAsia="Book Antiqua" w:hAnsiTheme="majorBidi" w:cstheme="majorBidi"/>
          <w:sz w:val="24"/>
          <w:szCs w:val="24"/>
        </w:rPr>
        <w:footnoteReference w:id="11"/>
      </w:r>
      <w:r w:rsidR="000E68D9" w:rsidRPr="00D077C1">
        <w:rPr>
          <w:rFonts w:asciiTheme="majorBidi" w:eastAsia="Book Antiqua" w:hAnsiTheme="majorBidi" w:cstheme="majorBidi"/>
          <w:sz w:val="24"/>
          <w:szCs w:val="24"/>
        </w:rPr>
        <w:t xml:space="preserve"> </w:t>
      </w:r>
      <w:r w:rsidRPr="00D077C1">
        <w:rPr>
          <w:rFonts w:asciiTheme="majorBidi" w:eastAsia="Book Antiqua" w:hAnsiTheme="majorBidi" w:cstheme="majorBidi"/>
          <w:sz w:val="24"/>
          <w:szCs w:val="24"/>
        </w:rPr>
        <w:t>selain itu, hal ini menunjukkan bahwa negara nomokrasi yang mencirikan tidak adanya pemisahan antara negara dengan agama dan adanya kebebasan dalam menjalankan agamanya menjadi bukti kuat berlakunya di Negara Kesatuan Republik Indonesia yang berdasarkan atas Ketuhanan Yang Maha Esa.</w:t>
      </w:r>
    </w:p>
    <w:p w:rsidR="00EA54D7" w:rsidRDefault="00477E6C" w:rsidP="00EA54D7">
      <w:pPr>
        <w:pStyle w:val="ListParagraph"/>
        <w:spacing w:line="360" w:lineRule="auto"/>
        <w:ind w:left="284" w:right="4"/>
        <w:jc w:val="both"/>
        <w:rPr>
          <w:rFonts w:asciiTheme="majorBidi" w:eastAsia="Book Antiqua" w:hAnsiTheme="majorBidi" w:cstheme="majorBidi"/>
          <w:sz w:val="24"/>
          <w:szCs w:val="24"/>
        </w:rPr>
      </w:pPr>
      <w:r>
        <w:rPr>
          <w:rFonts w:asciiTheme="majorBidi" w:hAnsiTheme="majorBidi" w:cstheme="majorBidi"/>
          <w:sz w:val="24"/>
          <w:szCs w:val="24"/>
        </w:rPr>
        <w:lastRenderedPageBreak/>
        <w:tab/>
      </w:r>
      <w:r w:rsidR="00EA54D7" w:rsidRPr="00E84792">
        <w:rPr>
          <w:rFonts w:asciiTheme="majorBidi" w:eastAsia="Book Antiqua" w:hAnsiTheme="majorBidi" w:cstheme="majorBidi"/>
          <w:sz w:val="24"/>
          <w:szCs w:val="24"/>
        </w:rPr>
        <w:t xml:space="preserve">Fatwa MUI merupakan kaedah dan asas yang dianggap penting dan diperlukan dalam rangka memperlancar aktivitas ekonomi syariah, apakah bentuknya telah ditransformasi kedalam peraturan perundang-undangan ataupun belum ditransformasikan. Cepatnya pertumbuhan bisnis syariah khususnya pertumbuhan perbankan syariah menimbulkan konsekuensi lahirnya berbagai kebutuhan yang berkaitan dengan kejelasan dalam berbagai masalah fiqih dan fatwa MUI merupakan solusi yang dianggap mampu memberikan pedoman dan rujukan. Fatwa memiliki kedudukan yang penting di dalam Hukum Islam walaupun fatwa bersifat </w:t>
      </w:r>
      <w:r w:rsidR="00EA54D7" w:rsidRPr="00E84792">
        <w:rPr>
          <w:rFonts w:asciiTheme="majorBidi" w:eastAsia="Book Antiqua" w:hAnsiTheme="majorBidi" w:cstheme="majorBidi"/>
          <w:i/>
          <w:iCs/>
          <w:sz w:val="24"/>
          <w:szCs w:val="24"/>
        </w:rPr>
        <w:t>ikhtiyâriyah</w:t>
      </w:r>
      <w:r w:rsidR="00EA54D7" w:rsidRPr="00E84792">
        <w:rPr>
          <w:rFonts w:asciiTheme="majorBidi" w:eastAsia="Book Antiqua" w:hAnsiTheme="majorBidi" w:cstheme="majorBidi"/>
          <w:sz w:val="24"/>
          <w:szCs w:val="24"/>
        </w:rPr>
        <w:t xml:space="preserve"> (tidak mengikat secara legal, mengikat secara moral khususnya bagi </w:t>
      </w:r>
      <w:r w:rsidR="00EA54D7" w:rsidRPr="00E84792">
        <w:rPr>
          <w:rFonts w:asciiTheme="majorBidi" w:eastAsia="Book Antiqua" w:hAnsiTheme="majorBidi" w:cstheme="majorBidi"/>
          <w:i/>
          <w:iCs/>
          <w:sz w:val="24"/>
          <w:szCs w:val="24"/>
        </w:rPr>
        <w:t>mustaftî</w:t>
      </w:r>
      <w:r w:rsidR="00EA54D7" w:rsidRPr="00E84792">
        <w:rPr>
          <w:rFonts w:asciiTheme="majorBidi" w:eastAsia="Book Antiqua" w:hAnsiTheme="majorBidi" w:cstheme="majorBidi"/>
          <w:sz w:val="24"/>
          <w:szCs w:val="24"/>
        </w:rPr>
        <w:t>/pihak yang meminta fatwa). Fatwa merupakan hasil ijtihad</w:t>
      </w:r>
      <w:r w:rsidR="00EA54D7" w:rsidRPr="00E84792">
        <w:rPr>
          <w:rFonts w:asciiTheme="majorBidi" w:eastAsia="Book Antiqua" w:hAnsiTheme="majorBidi" w:cstheme="majorBidi"/>
          <w:i/>
          <w:iCs/>
          <w:sz w:val="24"/>
          <w:szCs w:val="24"/>
        </w:rPr>
        <w:t xml:space="preserve"> </w:t>
      </w:r>
      <w:r w:rsidR="00EA54D7" w:rsidRPr="00E84792">
        <w:rPr>
          <w:rFonts w:asciiTheme="majorBidi" w:eastAsia="Book Antiqua" w:hAnsiTheme="majorBidi" w:cstheme="majorBidi"/>
          <w:sz w:val="24"/>
          <w:szCs w:val="24"/>
        </w:rPr>
        <w:t>kolektif sekalipun demikian fatwa tidak bisa disamakan dengan ijma. Didalam sistem hukum positif, fatwa tidak mengikat dan agar bisa bersifat mengikat maka fatwa harus melewati proses legislasi terlebih dahulu.</w:t>
      </w:r>
      <w:r w:rsidR="000E68D9">
        <w:rPr>
          <w:rStyle w:val="FootnoteReference"/>
          <w:rFonts w:asciiTheme="majorBidi" w:eastAsia="Book Antiqua" w:hAnsiTheme="majorBidi" w:cstheme="majorBidi"/>
          <w:sz w:val="24"/>
          <w:szCs w:val="24"/>
        </w:rPr>
        <w:footnoteReference w:id="12"/>
      </w:r>
      <w:r w:rsidR="000E68D9" w:rsidRPr="00D077C1">
        <w:rPr>
          <w:rFonts w:asciiTheme="majorBidi" w:eastAsia="Book Antiqua" w:hAnsiTheme="majorBidi" w:cstheme="majorBidi"/>
          <w:sz w:val="24"/>
          <w:szCs w:val="24"/>
        </w:rPr>
        <w:t xml:space="preserve"> </w:t>
      </w:r>
      <w:r w:rsidR="00EA54D7" w:rsidRPr="00D077C1">
        <w:rPr>
          <w:rFonts w:asciiTheme="majorBidi" w:eastAsia="Book Antiqua" w:hAnsiTheme="majorBidi" w:cstheme="majorBidi"/>
          <w:sz w:val="24"/>
          <w:szCs w:val="24"/>
        </w:rPr>
        <w:t xml:space="preserve">Beberapa substansi UU dan Rancangan Undang-Undang disusun dengan melibatkan pemikiran dari para ulama. Salah satunya yang dapat dijadikan contoh </w:t>
      </w:r>
      <w:r w:rsidR="00EA54D7">
        <w:rPr>
          <w:rFonts w:asciiTheme="majorBidi" w:eastAsia="Book Antiqua" w:hAnsiTheme="majorBidi" w:cstheme="majorBidi"/>
          <w:sz w:val="24"/>
          <w:szCs w:val="24"/>
        </w:rPr>
        <w:t xml:space="preserve">adalah UU tentang Wakaf. </w:t>
      </w:r>
    </w:p>
    <w:p w:rsidR="00EA54D7" w:rsidRPr="00EA54D7" w:rsidRDefault="00EA54D7" w:rsidP="00EA54D7">
      <w:pPr>
        <w:spacing w:line="360" w:lineRule="auto"/>
        <w:ind w:left="284" w:hanging="284"/>
        <w:jc w:val="both"/>
        <w:rPr>
          <w:rFonts w:asciiTheme="majorBidi" w:hAnsiTheme="majorBidi" w:cstheme="majorBidi"/>
          <w:b/>
          <w:sz w:val="24"/>
          <w:szCs w:val="24"/>
        </w:rPr>
      </w:pPr>
      <w:r w:rsidRPr="00EA54D7">
        <w:rPr>
          <w:rFonts w:asciiTheme="majorBidi" w:eastAsia="Book Antiqua" w:hAnsiTheme="majorBidi" w:cstheme="majorBidi"/>
          <w:sz w:val="24"/>
          <w:szCs w:val="24"/>
        </w:rPr>
        <w:lastRenderedPageBreak/>
        <w:t xml:space="preserve">2. </w:t>
      </w:r>
      <w:r w:rsidRPr="00EA54D7">
        <w:rPr>
          <w:rFonts w:asciiTheme="majorBidi" w:eastAsia="Tahoma" w:hAnsiTheme="majorBidi" w:cstheme="majorBidi"/>
          <w:b/>
          <w:sz w:val="24"/>
          <w:szCs w:val="24"/>
        </w:rPr>
        <w:t>Bagaimana kedudukan  fatwa DSN-MUI pada setiap transaksi keuangan syariah  pada lembaga keuangan syariah  di Sumatera Barat</w:t>
      </w:r>
    </w:p>
    <w:p w:rsidR="00EA54D7" w:rsidRDefault="00EA54D7" w:rsidP="00EA54D7">
      <w:pPr>
        <w:pStyle w:val="ListParagraph"/>
        <w:spacing w:line="360" w:lineRule="auto"/>
        <w:ind w:left="284" w:firstLine="436"/>
        <w:jc w:val="both"/>
        <w:rPr>
          <w:rFonts w:asciiTheme="majorBidi" w:eastAsia="Tahoma" w:hAnsiTheme="majorBidi" w:cstheme="majorBidi"/>
          <w:sz w:val="24"/>
          <w:szCs w:val="24"/>
        </w:rPr>
      </w:pPr>
      <w:r>
        <w:rPr>
          <w:rFonts w:asciiTheme="majorBidi" w:eastAsia="Tahoma" w:hAnsiTheme="majorBidi" w:cstheme="majorBidi"/>
          <w:sz w:val="24"/>
          <w:szCs w:val="24"/>
        </w:rPr>
        <w:t xml:space="preserve">   Hasil penelitian tentang peran fatwa DSN-MUI pada setiap transaksi keuangan syariah yang berada disumatera Barat dapat dikelompok dalam dua bagian  yaitu perbankan syariah seperti bank mandiri syariah cabang bukitinggi, Bank Muamalat cabang bukitinggi, BPRS haji Miskin kabupaten Tanah Datar dan BPRS Almakmur Kabupaten 50 Kota serta bursa efek Indonesia perwakilan Sumatera Barat. Hasil wawancara vang dilakukan kepada pimpinan Bank Mandiri syariah cabang Kota Bukitinggi menjelaskan bahwa “  </w:t>
      </w:r>
    </w:p>
    <w:p w:rsidR="00EA54D7" w:rsidRDefault="00EA54D7" w:rsidP="00EA54D7">
      <w:pPr>
        <w:pStyle w:val="ListParagraph"/>
        <w:spacing w:line="240" w:lineRule="auto"/>
        <w:ind w:left="284"/>
        <w:jc w:val="both"/>
        <w:rPr>
          <w:rFonts w:asciiTheme="majorBidi" w:eastAsia="Tahoma" w:hAnsiTheme="majorBidi" w:cstheme="majorBidi"/>
          <w:i/>
          <w:iCs/>
          <w:sz w:val="24"/>
          <w:szCs w:val="24"/>
        </w:rPr>
      </w:pPr>
      <w:r w:rsidRPr="00267496">
        <w:rPr>
          <w:rFonts w:asciiTheme="majorBidi" w:eastAsia="Tahoma" w:hAnsiTheme="majorBidi" w:cstheme="majorBidi"/>
          <w:i/>
          <w:iCs/>
          <w:sz w:val="24"/>
          <w:szCs w:val="24"/>
        </w:rPr>
        <w:t>semua produk yang ditawarkan oleh BSM kota bukitinggi kepada masyarakat telah mendapatkan legalitas formal dari fatwa DSN-MUI ddan sudah dibicarakan secara internal dengan dewan peng</w:t>
      </w:r>
      <w:r>
        <w:rPr>
          <w:rFonts w:asciiTheme="majorBidi" w:eastAsia="Tahoma" w:hAnsiTheme="majorBidi" w:cstheme="majorBidi"/>
          <w:i/>
          <w:iCs/>
          <w:sz w:val="24"/>
          <w:szCs w:val="24"/>
        </w:rPr>
        <w:t>awas syariah yang ada di pusat</w:t>
      </w:r>
      <w:r w:rsidR="00BA0237">
        <w:rPr>
          <w:rStyle w:val="FootnoteReference"/>
          <w:rFonts w:asciiTheme="majorBidi" w:eastAsia="Tahoma" w:hAnsiTheme="majorBidi" w:cstheme="majorBidi"/>
          <w:i/>
          <w:iCs/>
          <w:sz w:val="24"/>
          <w:szCs w:val="24"/>
        </w:rPr>
        <w:footnoteReference w:id="13"/>
      </w:r>
    </w:p>
    <w:p w:rsidR="00EA54D7" w:rsidRDefault="00EA54D7" w:rsidP="00EA54D7">
      <w:pPr>
        <w:pStyle w:val="ListParagraph"/>
        <w:spacing w:line="360" w:lineRule="auto"/>
        <w:ind w:left="284"/>
        <w:jc w:val="both"/>
        <w:rPr>
          <w:rFonts w:asciiTheme="majorBidi" w:eastAsia="Tahoma" w:hAnsiTheme="majorBidi" w:cstheme="majorBidi"/>
          <w:sz w:val="24"/>
          <w:szCs w:val="24"/>
        </w:rPr>
      </w:pPr>
      <w:r>
        <w:rPr>
          <w:rFonts w:asciiTheme="majorBidi" w:eastAsia="Tahoma" w:hAnsiTheme="majorBidi" w:cstheme="majorBidi"/>
          <w:sz w:val="24"/>
          <w:szCs w:val="24"/>
        </w:rPr>
        <w:t xml:space="preserve">Secara prinsip semua produk dari BSM yang ada diseluruh Indonesia telah mendapatkan legalitas dari DSN-MUI. Dewan pengawas syariah yang ditempatkan di BSM telah bertugas dalam mengawasi setiap transaksi yang dijalankan. Tetapi dari hasil data yang diperoleh dari responden memberikan beberapa hal yang terkait dengan transaksi yang terdapat didaerah.  </w:t>
      </w:r>
    </w:p>
    <w:p w:rsidR="00EA54D7" w:rsidRDefault="00EA54D7" w:rsidP="00EA54D7">
      <w:pPr>
        <w:pStyle w:val="ListParagraph"/>
        <w:spacing w:line="240" w:lineRule="auto"/>
        <w:ind w:left="284"/>
        <w:jc w:val="both"/>
        <w:rPr>
          <w:rFonts w:asciiTheme="majorBidi" w:eastAsia="Tahoma" w:hAnsiTheme="majorBidi" w:cstheme="majorBidi"/>
          <w:i/>
          <w:iCs/>
          <w:sz w:val="24"/>
          <w:szCs w:val="24"/>
        </w:rPr>
      </w:pPr>
      <w:r w:rsidRPr="00CA73A3">
        <w:rPr>
          <w:rFonts w:asciiTheme="majorBidi" w:eastAsia="Tahoma" w:hAnsiTheme="majorBidi" w:cstheme="majorBidi"/>
          <w:i/>
          <w:iCs/>
          <w:sz w:val="24"/>
          <w:szCs w:val="24"/>
        </w:rPr>
        <w:lastRenderedPageBreak/>
        <w:t>Setiap transaksi yang dilaksanakan dikantor cabang terkoneksi langsung kepada kantor pusat yang ada di Jakarta, tetapi ditingkat cabang diperlukan juga diskusi terkait dengan fatwa MUI yang akan dilaksanakan di setiap transaksi jika itu perlu pembahasan dan pejelasan. Maka kami ditingkat cabang selalu berkomunikasi dengan direksi yang ada dipusat untuk mendiskusikan hal yang terkait dengan aturan DSN-MUI dalam hal pen</w:t>
      </w:r>
      <w:r>
        <w:rPr>
          <w:rFonts w:asciiTheme="majorBidi" w:eastAsia="Tahoma" w:hAnsiTheme="majorBidi" w:cstheme="majorBidi"/>
          <w:i/>
          <w:iCs/>
          <w:sz w:val="24"/>
          <w:szCs w:val="24"/>
        </w:rPr>
        <w:t xml:space="preserve"> </w:t>
      </w:r>
      <w:r w:rsidRPr="00CA73A3">
        <w:rPr>
          <w:rFonts w:asciiTheme="majorBidi" w:eastAsia="Tahoma" w:hAnsiTheme="majorBidi" w:cstheme="majorBidi"/>
          <w:i/>
          <w:iCs/>
          <w:sz w:val="24"/>
          <w:szCs w:val="24"/>
        </w:rPr>
        <w:t>afsiran</w:t>
      </w:r>
      <w:r>
        <w:rPr>
          <w:rFonts w:asciiTheme="majorBidi" w:eastAsia="Tahoma" w:hAnsiTheme="majorBidi" w:cstheme="majorBidi"/>
          <w:i/>
          <w:iCs/>
          <w:sz w:val="24"/>
          <w:szCs w:val="24"/>
        </w:rPr>
        <w:t xml:space="preserve">. </w:t>
      </w:r>
      <w:r w:rsidR="00534BC4">
        <w:rPr>
          <w:rStyle w:val="FootnoteReference"/>
          <w:rFonts w:asciiTheme="majorBidi" w:eastAsia="Tahoma" w:hAnsiTheme="majorBidi" w:cstheme="majorBidi"/>
          <w:i/>
          <w:iCs/>
          <w:sz w:val="24"/>
          <w:szCs w:val="24"/>
        </w:rPr>
        <w:footnoteReference w:id="14"/>
      </w:r>
    </w:p>
    <w:p w:rsidR="00EA54D7" w:rsidRDefault="00EA54D7" w:rsidP="00EA54D7">
      <w:pPr>
        <w:pStyle w:val="ListParagraph"/>
        <w:spacing w:line="240" w:lineRule="auto"/>
        <w:jc w:val="both"/>
        <w:rPr>
          <w:rFonts w:asciiTheme="majorBidi" w:eastAsia="Tahoma" w:hAnsiTheme="majorBidi" w:cstheme="majorBidi"/>
          <w:i/>
          <w:iCs/>
          <w:sz w:val="24"/>
          <w:szCs w:val="24"/>
        </w:rPr>
      </w:pPr>
    </w:p>
    <w:p w:rsidR="00EA54D7" w:rsidRPr="00C15E3B" w:rsidRDefault="00EA54D7" w:rsidP="00C15E3B">
      <w:pPr>
        <w:pStyle w:val="ListParagraph"/>
        <w:spacing w:line="360" w:lineRule="auto"/>
        <w:ind w:left="284" w:firstLine="436"/>
        <w:jc w:val="both"/>
        <w:rPr>
          <w:rFonts w:asciiTheme="majorBidi" w:eastAsia="Tahoma" w:hAnsiTheme="majorBidi" w:cstheme="majorBidi"/>
          <w:sz w:val="24"/>
          <w:szCs w:val="24"/>
        </w:rPr>
      </w:pPr>
      <w:r>
        <w:rPr>
          <w:rFonts w:asciiTheme="majorBidi" w:eastAsia="Tahoma" w:hAnsiTheme="majorBidi" w:cstheme="majorBidi"/>
          <w:sz w:val="24"/>
          <w:szCs w:val="24"/>
        </w:rPr>
        <w:tab/>
        <w:t xml:space="preserve">Bank syariah mandiri merupakan salah satu bank umum syariah yang ada di Indonesia yang telah tersebar dieluruh wilayah di Indonesia. terkait dengan kepengawasan di bidang syariah, Bank syariah mandiri cukup menempatkan DPSnya dan berkantor di kantor pusat BSM. Sedangkan transaksi yang ada didaerah langsung diketahui oleh kantor pusat, maka dalam hal pengawasan tidak menempatkan masing-masing DPS dikantor cabang yang ada didaerah.  Dalam hal aplikasi dan penerapan fatwa DSN-MUI di BSM terkait dengan penafsiran beberapa fatwa yang akan diterapkan di perbankan syariah teruma BSM, hal itu telah dibecarakan dengan DPS bersama direksi dengan tujuan terlaksananya fatwa yang telah digariskan oleh DSN-MUI. Bank syariah mandiri cabang bukitinggi hanya ditugaskan untuk menjual setiap produk yang diberikan oleh BSM pusat, jadi semua produk yang dijual oleh BSM pusat telah memperoleh kajian dan legalitas </w:t>
      </w:r>
      <w:r>
        <w:rPr>
          <w:rFonts w:asciiTheme="majorBidi" w:eastAsia="Tahoma" w:hAnsiTheme="majorBidi" w:cstheme="majorBidi"/>
          <w:sz w:val="24"/>
          <w:szCs w:val="24"/>
        </w:rPr>
        <w:lastRenderedPageBreak/>
        <w:t xml:space="preserve">dari fatwa DSN-MUI. </w:t>
      </w:r>
      <w:r w:rsidR="00C15E3B">
        <w:rPr>
          <w:rFonts w:asciiTheme="majorBidi" w:eastAsia="Tahoma" w:hAnsiTheme="majorBidi" w:cstheme="majorBidi"/>
          <w:sz w:val="24"/>
          <w:szCs w:val="24"/>
        </w:rPr>
        <w:t xml:space="preserve"> </w:t>
      </w:r>
      <w:r w:rsidRPr="00C15E3B">
        <w:rPr>
          <w:rFonts w:asciiTheme="majorBidi" w:eastAsia="Tahoma" w:hAnsiTheme="majorBidi" w:cstheme="majorBidi"/>
          <w:sz w:val="24"/>
          <w:szCs w:val="24"/>
        </w:rPr>
        <w:t>Sedangkan data yang diperoleh dari bank pembiayaan syariah (BPRS) haji Miskin Pandai Sikek kabupaten tanah datar terkait dengan kedudukan fatwa DSN-MUI dalam setiap transaksi keuangan pada bank yang bersangkutan yaitu”</w:t>
      </w:r>
    </w:p>
    <w:p w:rsidR="00191C7B" w:rsidRDefault="00EA54D7" w:rsidP="00EA54D7">
      <w:pPr>
        <w:pStyle w:val="ListParagraph"/>
        <w:spacing w:line="240" w:lineRule="auto"/>
        <w:ind w:left="284"/>
        <w:jc w:val="both"/>
        <w:rPr>
          <w:rFonts w:asciiTheme="majorBidi" w:eastAsia="Tahoma" w:hAnsiTheme="majorBidi" w:cstheme="majorBidi"/>
          <w:i/>
          <w:iCs/>
          <w:sz w:val="24"/>
          <w:szCs w:val="24"/>
        </w:rPr>
      </w:pPr>
      <w:r w:rsidRPr="008A4E1D">
        <w:rPr>
          <w:rFonts w:asciiTheme="majorBidi" w:eastAsia="Tahoma" w:hAnsiTheme="majorBidi" w:cstheme="majorBidi"/>
          <w:i/>
          <w:iCs/>
          <w:sz w:val="24"/>
          <w:szCs w:val="24"/>
        </w:rPr>
        <w:t>Kedudukan fatwa DSN-MUI di BPRS haji miskin merupakan penentu dalam semua transaksi yang dijalankan seperti fatwa DSN-MUI No 03/DSN-MUI/IV/2000 tentang deposito dan fatwa N0 02/DSN-MUI/IV/2000 tentang tabungan</w:t>
      </w:r>
      <w:r w:rsidR="0099666B">
        <w:rPr>
          <w:rStyle w:val="FootnoteReference"/>
          <w:rFonts w:asciiTheme="majorBidi" w:eastAsia="Tahoma" w:hAnsiTheme="majorBidi" w:cstheme="majorBidi"/>
          <w:i/>
          <w:iCs/>
          <w:sz w:val="24"/>
          <w:szCs w:val="24"/>
        </w:rPr>
        <w:footnoteReference w:id="15"/>
      </w:r>
    </w:p>
    <w:p w:rsidR="00EA54D7" w:rsidRDefault="00EA54D7" w:rsidP="00EA54D7">
      <w:pPr>
        <w:pStyle w:val="ListParagraph"/>
        <w:spacing w:line="240" w:lineRule="auto"/>
        <w:ind w:left="284"/>
        <w:jc w:val="both"/>
        <w:rPr>
          <w:rFonts w:asciiTheme="majorBidi" w:eastAsia="Tahoma" w:hAnsiTheme="majorBidi" w:cstheme="majorBidi"/>
          <w:i/>
          <w:iCs/>
          <w:sz w:val="24"/>
          <w:szCs w:val="24"/>
        </w:rPr>
      </w:pPr>
      <w:r w:rsidRPr="008A4E1D">
        <w:rPr>
          <w:rFonts w:asciiTheme="majorBidi" w:eastAsia="Tahoma" w:hAnsiTheme="majorBidi" w:cstheme="majorBidi"/>
          <w:i/>
          <w:iCs/>
          <w:sz w:val="24"/>
          <w:szCs w:val="24"/>
        </w:rPr>
        <w:t>.</w:t>
      </w:r>
    </w:p>
    <w:p w:rsidR="001E550E" w:rsidRDefault="001E550E" w:rsidP="00EA54D7">
      <w:pPr>
        <w:pStyle w:val="ListParagraph"/>
        <w:spacing w:line="240" w:lineRule="auto"/>
        <w:ind w:left="284"/>
        <w:jc w:val="both"/>
        <w:rPr>
          <w:rFonts w:asciiTheme="majorBidi" w:eastAsia="Tahoma" w:hAnsiTheme="majorBidi" w:cstheme="majorBidi"/>
          <w:i/>
          <w:iCs/>
          <w:sz w:val="24"/>
          <w:szCs w:val="24"/>
        </w:rPr>
      </w:pPr>
    </w:p>
    <w:p w:rsidR="00EA54D7" w:rsidRDefault="00EA54D7" w:rsidP="00EA54D7">
      <w:pPr>
        <w:pStyle w:val="ListParagraph"/>
        <w:spacing w:line="360" w:lineRule="auto"/>
        <w:ind w:left="284"/>
        <w:jc w:val="both"/>
        <w:rPr>
          <w:rFonts w:asciiTheme="majorBidi" w:eastAsia="Tahoma" w:hAnsiTheme="majorBidi" w:cstheme="majorBidi"/>
          <w:i/>
          <w:iCs/>
          <w:sz w:val="24"/>
          <w:szCs w:val="24"/>
          <w:rtl/>
        </w:rPr>
      </w:pPr>
      <w:r>
        <w:rPr>
          <w:rFonts w:asciiTheme="majorBidi" w:eastAsia="Tahoma" w:hAnsiTheme="majorBidi" w:cstheme="majorBidi"/>
          <w:sz w:val="24"/>
          <w:szCs w:val="24"/>
        </w:rPr>
        <w:t xml:space="preserve">Penjelasan lain yang diberikan oleh responden terkait dengan kedudukan fatwa DSN-MUI di BPRS Haji Miskin bahwa fatwa merupakan hal yang sangat urgen di lembaga keuangan syariah dikeranakan tujuan bisnis yang dijalankan bukan untuk keuntungan semata tetapi ada tanggung jawab agama yang harus dilaksanakan. Dalam hal ini BPRS belum maksimal dalam memberikan edukasi dan sosialisasi kepada masyarakat tentang fatwa DSN-MUI, makas sebahagian nasabah belum menjadikan bank syariah khusunya BPRS sebagai bagian dalam bisnis dan dakwah islam. Hal ini didasari atas dasar pemahaman nasabah antara bagi hasil dengan bunga belum bisa membedakan dikarenakan latar belakang pendidikan dan pekerjaan.  </w:t>
      </w:r>
      <w:r w:rsidRPr="008A4E1D">
        <w:rPr>
          <w:rFonts w:asciiTheme="majorBidi" w:eastAsia="Tahoma" w:hAnsiTheme="majorBidi" w:cstheme="majorBidi"/>
          <w:i/>
          <w:iCs/>
          <w:sz w:val="24"/>
          <w:szCs w:val="24"/>
        </w:rPr>
        <w:t xml:space="preserve"> </w:t>
      </w:r>
    </w:p>
    <w:p w:rsidR="00EA54D7" w:rsidRDefault="00EA54D7" w:rsidP="00EA54D7">
      <w:pPr>
        <w:pStyle w:val="ListParagraph"/>
        <w:spacing w:line="360" w:lineRule="auto"/>
        <w:ind w:left="284"/>
        <w:jc w:val="both"/>
        <w:rPr>
          <w:rFonts w:asciiTheme="majorBidi" w:eastAsia="Tahoma" w:hAnsiTheme="majorBidi" w:cstheme="majorBidi"/>
          <w:sz w:val="24"/>
          <w:szCs w:val="24"/>
        </w:rPr>
      </w:pPr>
      <w:r>
        <w:rPr>
          <w:rFonts w:asciiTheme="majorBidi" w:eastAsia="Tahoma" w:hAnsiTheme="majorBidi" w:cstheme="majorBidi" w:hint="cs"/>
          <w:i/>
          <w:iCs/>
          <w:sz w:val="24"/>
          <w:szCs w:val="24"/>
          <w:rtl/>
        </w:rPr>
        <w:lastRenderedPageBreak/>
        <w:tab/>
      </w:r>
      <w:r>
        <w:rPr>
          <w:rFonts w:asciiTheme="majorBidi" w:eastAsia="Tahoma" w:hAnsiTheme="majorBidi" w:cstheme="majorBidi"/>
          <w:sz w:val="24"/>
          <w:szCs w:val="24"/>
        </w:rPr>
        <w:t>Sedangkan pada sisi pembiayaan yang disalurkan kedudukan fatwa MUI menjadi hal yang sangat penting, untuk itu DSN sebagai badan pengawas yang ditempatkan dilembaga keuangan syariah khusunya BPRS telah berjalan dengan baik. “</w:t>
      </w:r>
    </w:p>
    <w:p w:rsidR="00EA54D7" w:rsidRDefault="00EA54D7" w:rsidP="00EA54D7">
      <w:pPr>
        <w:pStyle w:val="ListParagraph"/>
        <w:spacing w:line="240" w:lineRule="auto"/>
        <w:ind w:left="284"/>
        <w:jc w:val="both"/>
        <w:rPr>
          <w:rFonts w:asciiTheme="majorBidi" w:eastAsia="Tahoma" w:hAnsiTheme="majorBidi" w:cstheme="majorBidi"/>
          <w:i/>
          <w:iCs/>
          <w:sz w:val="24"/>
          <w:szCs w:val="24"/>
        </w:rPr>
      </w:pPr>
      <w:r w:rsidRPr="00322B89">
        <w:rPr>
          <w:rFonts w:asciiTheme="majorBidi" w:eastAsia="Tahoma" w:hAnsiTheme="majorBidi" w:cstheme="majorBidi"/>
          <w:i/>
          <w:iCs/>
          <w:sz w:val="24"/>
          <w:szCs w:val="24"/>
        </w:rPr>
        <w:t>Untuk produk pembiayaan yang dilaksanakan di BPRS haji miskin seperti modal kerja, pembiayaan konsumtif dan investasi, DPS selalu melakukan monitoring terkait dengan pelkasaaan akad dengan transaksi yang dilakukan dengan berpodoman kepada aturan OJK dan fatwa DSN seperti fatwa No 04/DSN-MUI/IV/2000 tentang murabahah, fatwa No 05/DSN-MUI/IV/2000 Akad salam, No 07/DSN-MUI/IV/2000 tentang Mudharabah serta fatwa No No 09/DSN-MUI/IV/2000 ijarah</w:t>
      </w:r>
      <w:r>
        <w:rPr>
          <w:rFonts w:asciiTheme="majorBidi" w:eastAsia="Tahoma" w:hAnsiTheme="majorBidi" w:cstheme="majorBidi"/>
          <w:i/>
          <w:iCs/>
          <w:sz w:val="24"/>
          <w:szCs w:val="24"/>
        </w:rPr>
        <w:t>.</w:t>
      </w:r>
      <w:r w:rsidR="0099666B">
        <w:rPr>
          <w:rStyle w:val="FootnoteReference"/>
          <w:rFonts w:asciiTheme="majorBidi" w:eastAsia="Tahoma" w:hAnsiTheme="majorBidi" w:cstheme="majorBidi"/>
          <w:i/>
          <w:iCs/>
          <w:sz w:val="24"/>
          <w:szCs w:val="24"/>
        </w:rPr>
        <w:footnoteReference w:id="16"/>
      </w:r>
    </w:p>
    <w:p w:rsidR="00EA54D7" w:rsidRDefault="00EA54D7" w:rsidP="00EA54D7">
      <w:pPr>
        <w:pStyle w:val="ListParagraph"/>
        <w:spacing w:line="240" w:lineRule="auto"/>
        <w:ind w:left="284"/>
        <w:jc w:val="both"/>
        <w:rPr>
          <w:rFonts w:asciiTheme="majorBidi" w:eastAsia="Tahoma" w:hAnsiTheme="majorBidi" w:cstheme="majorBidi"/>
          <w:sz w:val="24"/>
          <w:szCs w:val="24"/>
        </w:rPr>
      </w:pPr>
    </w:p>
    <w:p w:rsidR="00EA54D7" w:rsidRPr="00322B89" w:rsidRDefault="00EA54D7" w:rsidP="00EA54D7">
      <w:pPr>
        <w:pStyle w:val="ListParagraph"/>
        <w:spacing w:line="360" w:lineRule="auto"/>
        <w:ind w:left="284"/>
        <w:jc w:val="both"/>
        <w:rPr>
          <w:rFonts w:asciiTheme="majorBidi" w:eastAsia="Tahoma" w:hAnsiTheme="majorBidi" w:cstheme="majorBidi"/>
          <w:sz w:val="24"/>
          <w:szCs w:val="24"/>
        </w:rPr>
      </w:pPr>
      <w:r>
        <w:rPr>
          <w:rFonts w:asciiTheme="majorBidi" w:eastAsia="Tahoma" w:hAnsiTheme="majorBidi" w:cstheme="majorBidi"/>
          <w:sz w:val="24"/>
          <w:szCs w:val="24"/>
        </w:rPr>
        <w:t xml:space="preserve">Secara prinsip setiap transaksi yang dijalankan telah berpedoman dengan aturan yang ada terutama hal yang terkait dengan komitmen penerapan prinsip syariah di setiap transaksi. Tetapi yang menjadi catatan bagi penelitia adalah dengan jumlah 2 DPS disetiap lembaga keuangan syariah yang mereka dituntut hadir hanya 1 kali dalam satu minggu, apakah sudah maksimal pengawasan yang dilakukann. Kemudian transaksi yang terjadi hanya antara nasabah dengan direksi besrta karyawannya jika terjadi kesalahan dalam pemahaman sedangkan DPS tidak berkantor stiap hari tentu akan memberikan kesulitan tersendiri bagi pihak pengelolah.  </w:t>
      </w:r>
    </w:p>
    <w:p w:rsidR="00EA54D7" w:rsidRDefault="00EA54D7" w:rsidP="00EA54D7">
      <w:pPr>
        <w:pStyle w:val="ListParagraph"/>
        <w:spacing w:line="360" w:lineRule="auto"/>
        <w:ind w:left="284"/>
        <w:jc w:val="both"/>
        <w:rPr>
          <w:rFonts w:asciiTheme="majorBidi" w:eastAsia="Tahoma" w:hAnsiTheme="majorBidi" w:cstheme="majorBidi"/>
          <w:sz w:val="24"/>
          <w:szCs w:val="24"/>
        </w:rPr>
      </w:pPr>
      <w:r w:rsidRPr="008A4E1D">
        <w:rPr>
          <w:rFonts w:asciiTheme="majorBidi" w:eastAsia="Tahoma" w:hAnsiTheme="majorBidi" w:cstheme="majorBidi"/>
          <w:i/>
          <w:iCs/>
          <w:sz w:val="24"/>
          <w:szCs w:val="24"/>
        </w:rPr>
        <w:lastRenderedPageBreak/>
        <w:t xml:space="preserve"> </w:t>
      </w:r>
      <w:r>
        <w:rPr>
          <w:rFonts w:asciiTheme="majorBidi" w:eastAsia="Tahoma" w:hAnsiTheme="majorBidi" w:cstheme="majorBidi"/>
          <w:i/>
          <w:iCs/>
          <w:sz w:val="24"/>
          <w:szCs w:val="24"/>
        </w:rPr>
        <w:tab/>
      </w:r>
      <w:r>
        <w:rPr>
          <w:rFonts w:asciiTheme="majorBidi" w:eastAsia="Tahoma" w:hAnsiTheme="majorBidi" w:cstheme="majorBidi"/>
          <w:sz w:val="24"/>
          <w:szCs w:val="24"/>
        </w:rPr>
        <w:t>Sedangkan pada BPRS Al-Makmur Kabupaten 50 Kota terkait dengan kedudukan fatwa DSN-MUI pada setiap transaksi yang dijalankan ada secara prinsip ssesuai dengan yang dijalankan oleh bank syariah yang lain yang ada di Sumatera barat dan di Indonesia. Untuk   akad hiwalah terkait pelayanan kepada nasabah untuk produk take over telah berpeodoman kepada fatwa yang telah ada</w:t>
      </w:r>
      <w:r w:rsidR="0099666B">
        <w:rPr>
          <w:rStyle w:val="FootnoteReference"/>
          <w:rFonts w:asciiTheme="majorBidi" w:eastAsia="Tahoma" w:hAnsiTheme="majorBidi" w:cstheme="majorBidi"/>
          <w:sz w:val="24"/>
          <w:szCs w:val="24"/>
        </w:rPr>
        <w:footnoteReference w:id="17"/>
      </w:r>
      <w:r w:rsidR="0099666B">
        <w:rPr>
          <w:rFonts w:asciiTheme="majorBidi" w:eastAsia="Tahoma" w:hAnsiTheme="majorBidi" w:cstheme="majorBidi"/>
          <w:sz w:val="24"/>
          <w:szCs w:val="24"/>
        </w:rPr>
        <w:t xml:space="preserve">. </w:t>
      </w:r>
      <w:r>
        <w:rPr>
          <w:rFonts w:asciiTheme="majorBidi" w:eastAsia="Tahoma" w:hAnsiTheme="majorBidi" w:cstheme="majorBidi"/>
          <w:sz w:val="24"/>
          <w:szCs w:val="24"/>
        </w:rPr>
        <w:t>Dari data yang diperoleh bahwa kedudukan fatwa pada perbankan syariah sudah menjadi rujukan dalam setiap transaksi untuk kedepannya setiap DPS yang ada dilembaga keuangan syariah diharapkan tidak hanya sebagai dewan independen yang besifat sebagai pelengkap tetapi memiliki kedudukan dan staf khusu yang membidangi setiap transaksi yang dijalankan dengan harapan pelaksaan prinsip syariah maksimal dilaksanakan</w:t>
      </w:r>
      <w:r w:rsidR="00485DB5">
        <w:rPr>
          <w:rFonts w:asciiTheme="majorBidi" w:eastAsia="Tahoma" w:hAnsiTheme="majorBidi" w:cstheme="majorBidi"/>
          <w:sz w:val="24"/>
          <w:szCs w:val="24"/>
        </w:rPr>
        <w:t>.</w:t>
      </w:r>
    </w:p>
    <w:p w:rsidR="00485DB5" w:rsidRPr="00485DB5" w:rsidRDefault="00485DB5" w:rsidP="00485DB5">
      <w:pPr>
        <w:pStyle w:val="ListParagraph"/>
        <w:spacing w:line="360" w:lineRule="auto"/>
        <w:ind w:left="284" w:firstLine="436"/>
        <w:jc w:val="both"/>
        <w:rPr>
          <w:rFonts w:ascii="Times New Roman" w:eastAsia="Tahoma" w:hAnsi="Times New Roman" w:cs="Times New Roman"/>
          <w:sz w:val="24"/>
          <w:szCs w:val="24"/>
        </w:rPr>
      </w:pPr>
      <w:r>
        <w:rPr>
          <w:rFonts w:ascii="Times New Roman" w:hAnsi="Times New Roman" w:cs="Times New Roman"/>
          <w:sz w:val="24"/>
          <w:szCs w:val="24"/>
        </w:rPr>
        <w:t xml:space="preserve">   </w:t>
      </w:r>
      <w:r w:rsidRPr="00485DB5">
        <w:rPr>
          <w:rFonts w:ascii="Times New Roman" w:hAnsi="Times New Roman" w:cs="Times New Roman"/>
          <w:sz w:val="24"/>
          <w:szCs w:val="24"/>
        </w:rPr>
        <w:t xml:space="preserve">Pada bidang ekonomi, DSN MUI membentuk lembaga perangkat kerja yaitu DSN-MUI yang secara khusus menangani masalah-masalah yang berhubungan dengan aktivitas Lembaga Keuangan Syariah (LKS) dan ekonomi syariah, hal ini tertuang pada SK dewan pimpinan MUI No. Kep-754/MUI/II/1999 tertanggal 10 Februari 1999.6 Tugas dan fungsi DSN-MUI adalah mengeluarkan fatwa tentang ekonomi syariah untuk dijadikan pedoman </w:t>
      </w:r>
      <w:r w:rsidRPr="00485DB5">
        <w:rPr>
          <w:rFonts w:ascii="Times New Roman" w:hAnsi="Times New Roman" w:cs="Times New Roman"/>
          <w:sz w:val="24"/>
          <w:szCs w:val="24"/>
        </w:rPr>
        <w:lastRenderedPageBreak/>
        <w:t>bagi praktisi dan regulator. Saat ini, DSN-MUI telah mengeluarkan fatwa sebanyak 81 fatwa. Namun, DSN-MUI itu sendiri belum diketahui kekuatan hukum fatwanya dalam hukum positif sehingga dijadikan dasar operasional lembaga keuangan syariah. Namun, tidak sedikit fatwa DSN-MUI yang terserap dalam berbagai peraturan perundang-undangan khususnya di bidang ekonomi syariah pada lembaga keuangan syariah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8"/>
      </w:r>
    </w:p>
    <w:p w:rsidR="00723317" w:rsidRPr="00723317" w:rsidRDefault="00723317" w:rsidP="00723317">
      <w:pPr>
        <w:spacing w:line="360" w:lineRule="auto"/>
        <w:ind w:left="284" w:hanging="284"/>
        <w:jc w:val="both"/>
        <w:rPr>
          <w:rFonts w:asciiTheme="majorBidi" w:eastAsia="Tahoma" w:hAnsiTheme="majorBidi" w:cstheme="majorBidi"/>
          <w:sz w:val="24"/>
          <w:szCs w:val="24"/>
        </w:rPr>
      </w:pPr>
      <w:r w:rsidRPr="00723317">
        <w:rPr>
          <w:rFonts w:asciiTheme="majorBidi" w:hAnsiTheme="majorBidi" w:cstheme="majorBidi"/>
          <w:sz w:val="24"/>
          <w:szCs w:val="24"/>
        </w:rPr>
        <w:t xml:space="preserve">3. </w:t>
      </w:r>
      <w:r w:rsidRPr="00723317">
        <w:rPr>
          <w:rFonts w:asciiTheme="majorBidi" w:eastAsia="Tahoma" w:hAnsiTheme="majorBidi" w:cstheme="majorBidi"/>
          <w:b/>
          <w:sz w:val="24"/>
          <w:szCs w:val="24"/>
        </w:rPr>
        <w:t>Faktor apa saja yang menjadi hambatan dalam penerapan Fatwa DSN-MUI di   lembaga keuangan syariah</w:t>
      </w:r>
    </w:p>
    <w:p w:rsidR="00723317" w:rsidRPr="00BC6B71" w:rsidRDefault="00723317" w:rsidP="00723317">
      <w:pPr>
        <w:pStyle w:val="ListParagraph"/>
        <w:spacing w:line="360" w:lineRule="auto"/>
        <w:ind w:left="284"/>
        <w:jc w:val="both"/>
        <w:rPr>
          <w:rFonts w:asciiTheme="majorBidi" w:eastAsia="Tahoma" w:hAnsiTheme="majorBidi" w:cstheme="majorBidi"/>
          <w:sz w:val="24"/>
          <w:szCs w:val="24"/>
        </w:rPr>
      </w:pPr>
      <w:r>
        <w:rPr>
          <w:rFonts w:asciiTheme="majorBidi" w:eastAsia="Tahoma" w:hAnsiTheme="majorBidi" w:cstheme="majorBidi"/>
          <w:sz w:val="24"/>
          <w:szCs w:val="24"/>
        </w:rPr>
        <w:t xml:space="preserve">            </w:t>
      </w:r>
      <w:r w:rsidRPr="00BC6B71">
        <w:rPr>
          <w:rFonts w:asciiTheme="majorBidi" w:eastAsia="Tahoma" w:hAnsiTheme="majorBidi" w:cstheme="majorBidi"/>
          <w:sz w:val="24"/>
          <w:szCs w:val="24"/>
        </w:rPr>
        <w:t xml:space="preserve">Hampir seluruh fatwa-fatwa yang dikeluarkan oleh DSN-MUI terserap dalam bentuk Peraturan Bank Indonesia yang akan mengikat seluruh perbankan syariah dan masyarakat pelaku perbankan syariah, namun ada beberapa fatwa yang sulit untuk diterjemahkan dalam peraturan perbankan sehingga hal ini menjadi kendala dalam pengembangan usaha perbankan syariah. Berdasarkan data penelitian yang diperoleh ada beberapa kendala penerapan Fatwa DSN-MUI dalam pelaksanaan perbankan syariah. Dalam hal ini Bank Indonesia mengakui bahwa kendala yang dihadapi yaitu hal yang terkait dengan hukum positif yang berlaku yang sering tidak sejalan </w:t>
      </w:r>
      <w:r w:rsidRPr="00BC6B71">
        <w:rPr>
          <w:rFonts w:asciiTheme="majorBidi" w:eastAsia="Tahoma" w:hAnsiTheme="majorBidi" w:cstheme="majorBidi"/>
          <w:sz w:val="24"/>
          <w:szCs w:val="24"/>
        </w:rPr>
        <w:lastRenderedPageBreak/>
        <w:t xml:space="preserve">dengan hukum Islam. Dalam hukum positif hanya mengenal transaksi utang piutang dalam perbankan, sehingga fatwa MUI terkait </w:t>
      </w:r>
      <w:r w:rsidRPr="00BC6B71">
        <w:rPr>
          <w:rFonts w:asciiTheme="majorBidi" w:eastAsia="Tahoma" w:hAnsiTheme="majorBidi" w:cstheme="majorBidi"/>
          <w:i/>
          <w:sz w:val="24"/>
          <w:szCs w:val="24"/>
        </w:rPr>
        <w:t>mudharabah</w:t>
      </w:r>
      <w:r w:rsidRPr="00BC6B71">
        <w:rPr>
          <w:rFonts w:asciiTheme="majorBidi" w:eastAsia="Tahoma" w:hAnsiTheme="majorBidi" w:cstheme="majorBidi"/>
          <w:sz w:val="24"/>
          <w:szCs w:val="24"/>
        </w:rPr>
        <w:t xml:space="preserve">, </w:t>
      </w:r>
      <w:r w:rsidRPr="00BC6B71">
        <w:rPr>
          <w:rFonts w:asciiTheme="majorBidi" w:eastAsia="Tahoma" w:hAnsiTheme="majorBidi" w:cstheme="majorBidi"/>
          <w:i/>
          <w:sz w:val="24"/>
          <w:szCs w:val="24"/>
        </w:rPr>
        <w:t>musyarakah</w:t>
      </w:r>
      <w:r w:rsidRPr="00BC6B71">
        <w:rPr>
          <w:rFonts w:asciiTheme="majorBidi" w:eastAsia="Tahoma" w:hAnsiTheme="majorBidi" w:cstheme="majorBidi"/>
          <w:sz w:val="24"/>
          <w:szCs w:val="24"/>
        </w:rPr>
        <w:t xml:space="preserve">, </w:t>
      </w:r>
      <w:r w:rsidRPr="00BC6B71">
        <w:rPr>
          <w:rFonts w:asciiTheme="majorBidi" w:eastAsia="Tahoma" w:hAnsiTheme="majorBidi" w:cstheme="majorBidi"/>
          <w:i/>
          <w:sz w:val="24"/>
          <w:szCs w:val="24"/>
        </w:rPr>
        <w:t xml:space="preserve">ijarah </w:t>
      </w:r>
      <w:r w:rsidRPr="00BC6B71">
        <w:rPr>
          <w:rFonts w:asciiTheme="majorBidi" w:eastAsia="Tahoma" w:hAnsiTheme="majorBidi" w:cstheme="majorBidi"/>
          <w:sz w:val="24"/>
          <w:szCs w:val="24"/>
        </w:rPr>
        <w:t>dan lainnya tidak dapat dilaksanakan secara utuh.</w:t>
      </w:r>
      <w:bookmarkStart w:id="3" w:name="page91"/>
      <w:bookmarkEnd w:id="3"/>
      <w:r w:rsidRPr="00BC6B71">
        <w:rPr>
          <w:rFonts w:asciiTheme="majorBidi" w:eastAsia="Tahoma" w:hAnsiTheme="majorBidi" w:cstheme="majorBidi"/>
          <w:sz w:val="24"/>
          <w:szCs w:val="24"/>
        </w:rPr>
        <w:t xml:space="preserve"> Pihak lembaga perbankan syariah juga mengakui bahwa ada kendala-kendala yang dihadapi dalam penerpan fatwa DSN-MUI, antara lain:</w:t>
      </w:r>
    </w:p>
    <w:p w:rsidR="00723317" w:rsidRPr="00A413B6" w:rsidRDefault="00723317" w:rsidP="00723317">
      <w:pPr>
        <w:spacing w:line="2" w:lineRule="exact"/>
        <w:ind w:right="4"/>
        <w:rPr>
          <w:rFonts w:asciiTheme="majorBidi" w:eastAsia="Times New Roman" w:hAnsiTheme="majorBidi" w:cstheme="majorBidi"/>
          <w:sz w:val="24"/>
          <w:szCs w:val="24"/>
        </w:rPr>
      </w:pPr>
    </w:p>
    <w:p w:rsidR="00723317" w:rsidRDefault="00723317" w:rsidP="00723317">
      <w:pPr>
        <w:spacing w:line="352" w:lineRule="auto"/>
        <w:ind w:left="567"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a.</w:t>
      </w:r>
      <w:r w:rsidRPr="00A413B6">
        <w:rPr>
          <w:rFonts w:asciiTheme="majorBidi" w:eastAsia="Tahoma" w:hAnsiTheme="majorBidi" w:cstheme="majorBidi"/>
          <w:sz w:val="24"/>
          <w:szCs w:val="24"/>
        </w:rPr>
        <w:tab/>
        <w:t>Paradigma nasabah yang belum mengenal produk dan operasional perbankan syariah;</w:t>
      </w:r>
    </w:p>
    <w:p w:rsidR="00723317" w:rsidRPr="00A413B6" w:rsidRDefault="00723317" w:rsidP="00723317">
      <w:pPr>
        <w:spacing w:line="352" w:lineRule="auto"/>
        <w:ind w:left="567"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b.</w:t>
      </w:r>
      <w:r w:rsidRPr="00A413B6">
        <w:rPr>
          <w:rFonts w:asciiTheme="majorBidi" w:eastAsia="Tahoma" w:hAnsiTheme="majorBidi" w:cstheme="majorBidi"/>
          <w:sz w:val="24"/>
          <w:szCs w:val="24"/>
        </w:rPr>
        <w:tab/>
        <w:t>Regulasi belum selaras dengan fatwa, seperti produk IMBT apabila dilaksanakan sesuai dengan fatwa maka objek IMBT harus atas nama bank, apabila demikian maka akan menimbulkan cost yang tinggi seperti regulasi pajak;</w:t>
      </w:r>
    </w:p>
    <w:p w:rsidR="00723317" w:rsidRPr="00A413B6" w:rsidRDefault="00723317" w:rsidP="00723317">
      <w:pPr>
        <w:numPr>
          <w:ilvl w:val="0"/>
          <w:numId w:val="43"/>
        </w:numPr>
        <w:spacing w:after="0" w:line="352" w:lineRule="auto"/>
        <w:ind w:left="567"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Adanya fatwa DSN-MUI yang tidak terlalu detail sehingga untuk hal-hal teknis terkadang menimbulkan pertanyaan / perdebatan;</w:t>
      </w:r>
    </w:p>
    <w:p w:rsidR="00723317" w:rsidRPr="00A413B6" w:rsidRDefault="00723317" w:rsidP="00723317">
      <w:pPr>
        <w:spacing w:line="1" w:lineRule="exact"/>
        <w:ind w:left="567" w:right="4" w:hanging="283"/>
        <w:rPr>
          <w:rFonts w:asciiTheme="majorBidi" w:eastAsia="Tahoma" w:hAnsiTheme="majorBidi" w:cstheme="majorBidi"/>
          <w:sz w:val="24"/>
          <w:szCs w:val="24"/>
        </w:rPr>
      </w:pPr>
    </w:p>
    <w:p w:rsidR="00723317" w:rsidRPr="00A413B6" w:rsidRDefault="00723317" w:rsidP="00723317">
      <w:pPr>
        <w:numPr>
          <w:ilvl w:val="0"/>
          <w:numId w:val="43"/>
        </w:numPr>
        <w:spacing w:after="0" w:line="352" w:lineRule="auto"/>
        <w:ind w:left="567"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Adanya fatwa yang belum aplikatif, seperti fatwa DSN-MUI No. 15/DSN-MUI/IX/2000 tentang Prinsip Distribusi Hasil Usaha Dalam LKS;</w:t>
      </w:r>
    </w:p>
    <w:p w:rsidR="00723317" w:rsidRPr="00A413B6" w:rsidRDefault="00723317" w:rsidP="00723317">
      <w:pPr>
        <w:numPr>
          <w:ilvl w:val="0"/>
          <w:numId w:val="43"/>
        </w:numPr>
        <w:tabs>
          <w:tab w:val="left" w:pos="284"/>
        </w:tabs>
        <w:spacing w:after="0" w:line="353" w:lineRule="auto"/>
        <w:ind w:left="284" w:right="4" w:hanging="284"/>
        <w:jc w:val="both"/>
        <w:rPr>
          <w:rFonts w:asciiTheme="majorBidi" w:eastAsia="Tahoma" w:hAnsiTheme="majorBidi" w:cstheme="majorBidi"/>
          <w:sz w:val="24"/>
          <w:szCs w:val="24"/>
        </w:rPr>
      </w:pPr>
      <w:r w:rsidRPr="00A413B6">
        <w:rPr>
          <w:rFonts w:asciiTheme="majorBidi" w:eastAsia="Tahoma" w:hAnsiTheme="majorBidi" w:cstheme="majorBidi"/>
          <w:sz w:val="24"/>
          <w:szCs w:val="24"/>
        </w:rPr>
        <w:t>Tidak semua fatwa ekonomi relevan dari sisi bisnis. Sebab, LKS tidak akan membuat sebuah produk yang kurang menguntungkan dan tidak dapat diserap oleh pihak ketiga;</w:t>
      </w:r>
    </w:p>
    <w:p w:rsidR="00723317" w:rsidRPr="00A413B6" w:rsidRDefault="00723317" w:rsidP="00723317">
      <w:pPr>
        <w:tabs>
          <w:tab w:val="left" w:pos="284"/>
        </w:tabs>
        <w:spacing w:line="3" w:lineRule="exact"/>
        <w:ind w:left="284" w:right="4" w:hanging="284"/>
        <w:rPr>
          <w:rFonts w:asciiTheme="majorBidi" w:eastAsia="Tahoma" w:hAnsiTheme="majorBidi" w:cstheme="majorBidi"/>
          <w:sz w:val="24"/>
          <w:szCs w:val="24"/>
        </w:rPr>
      </w:pPr>
    </w:p>
    <w:p w:rsidR="00723317" w:rsidRPr="007A64BB" w:rsidRDefault="00723317" w:rsidP="00723317">
      <w:pPr>
        <w:numPr>
          <w:ilvl w:val="0"/>
          <w:numId w:val="43"/>
        </w:numPr>
        <w:tabs>
          <w:tab w:val="left" w:pos="284"/>
        </w:tabs>
        <w:spacing w:after="0" w:line="352" w:lineRule="auto"/>
        <w:ind w:left="284" w:right="4" w:hanging="284"/>
        <w:jc w:val="both"/>
        <w:rPr>
          <w:rFonts w:asciiTheme="majorBidi" w:eastAsia="Times New Roman" w:hAnsiTheme="majorBidi" w:cstheme="majorBidi"/>
          <w:sz w:val="24"/>
          <w:szCs w:val="24"/>
        </w:rPr>
      </w:pPr>
      <w:r w:rsidRPr="00A413B6">
        <w:rPr>
          <w:rFonts w:asciiTheme="majorBidi" w:eastAsia="Tahoma" w:hAnsiTheme="majorBidi" w:cstheme="majorBidi"/>
          <w:sz w:val="24"/>
          <w:szCs w:val="24"/>
        </w:rPr>
        <w:lastRenderedPageBreak/>
        <w:t xml:space="preserve">Kendala Support Pemerintah. Seringkali kebijakan pemerintah menjadi kendala bagi terlaksananya Fatwa DSN-MUI oleh LKS. Misalnya </w:t>
      </w:r>
      <w:r w:rsidRPr="00A413B6">
        <w:rPr>
          <w:rFonts w:asciiTheme="majorBidi" w:eastAsia="Tahoma" w:hAnsiTheme="majorBidi" w:cstheme="majorBidi"/>
          <w:i/>
          <w:sz w:val="24"/>
          <w:szCs w:val="24"/>
        </w:rPr>
        <w:t>double tax</w:t>
      </w:r>
      <w:r w:rsidRPr="00A413B6">
        <w:rPr>
          <w:rFonts w:asciiTheme="majorBidi" w:eastAsia="Tahoma" w:hAnsiTheme="majorBidi" w:cstheme="majorBidi"/>
          <w:sz w:val="24"/>
          <w:szCs w:val="24"/>
        </w:rPr>
        <w:t xml:space="preserve"> yang pernah diberlakukan untuk akad </w:t>
      </w:r>
      <w:r w:rsidRPr="00A413B6">
        <w:rPr>
          <w:rFonts w:asciiTheme="majorBidi" w:eastAsia="Tahoma" w:hAnsiTheme="majorBidi" w:cstheme="majorBidi"/>
          <w:i/>
          <w:sz w:val="24"/>
          <w:szCs w:val="24"/>
        </w:rPr>
        <w:t>Murabahah</w:t>
      </w:r>
      <w:r w:rsidRPr="00A413B6">
        <w:rPr>
          <w:rFonts w:asciiTheme="majorBidi" w:eastAsia="Tahoma" w:hAnsiTheme="majorBidi" w:cstheme="majorBidi"/>
          <w:sz w:val="24"/>
          <w:szCs w:val="24"/>
        </w:rPr>
        <w:t xml:space="preserve"> (sebab barang harus dibeli dulu oleh bank dan kemudian baru dijual kepada nasabah); </w:t>
      </w:r>
      <w:r w:rsidRPr="007A64BB">
        <w:rPr>
          <w:rFonts w:asciiTheme="majorBidi" w:eastAsia="Tahoma" w:hAnsiTheme="majorBidi" w:cstheme="majorBidi"/>
          <w:sz w:val="24"/>
          <w:szCs w:val="24"/>
        </w:rPr>
        <w:t>Sedangkan kendala-kendala yang dihadapi perbankan syariah dalam mengembangkan usahanya berdasarkan persepsi lembaga perbankan syariah:</w:t>
      </w:r>
    </w:p>
    <w:p w:rsidR="00723317" w:rsidRPr="00A413B6" w:rsidRDefault="00723317" w:rsidP="00723317">
      <w:pPr>
        <w:spacing w:line="2" w:lineRule="exact"/>
        <w:ind w:right="4"/>
        <w:rPr>
          <w:rFonts w:asciiTheme="majorBidi" w:eastAsia="Times New Roman" w:hAnsiTheme="majorBidi" w:cstheme="majorBidi"/>
          <w:sz w:val="24"/>
          <w:szCs w:val="24"/>
        </w:rPr>
      </w:pPr>
    </w:p>
    <w:p w:rsidR="00723317" w:rsidRPr="00AA65EB" w:rsidRDefault="00723317" w:rsidP="00723317">
      <w:pPr>
        <w:numPr>
          <w:ilvl w:val="0"/>
          <w:numId w:val="44"/>
        </w:numPr>
        <w:tabs>
          <w:tab w:val="left" w:pos="851"/>
        </w:tabs>
        <w:spacing w:after="0" w:line="375" w:lineRule="auto"/>
        <w:ind w:left="851" w:right="4" w:hanging="284"/>
        <w:jc w:val="both"/>
        <w:rPr>
          <w:rFonts w:asciiTheme="majorBidi" w:eastAsia="Tahoma" w:hAnsiTheme="majorBidi" w:cstheme="majorBidi"/>
          <w:sz w:val="24"/>
          <w:szCs w:val="24"/>
        </w:rPr>
      </w:pPr>
      <w:r w:rsidRPr="00A413B6">
        <w:rPr>
          <w:rFonts w:asciiTheme="majorBidi" w:eastAsia="Tahoma" w:hAnsiTheme="majorBidi" w:cstheme="majorBidi"/>
          <w:i/>
          <w:sz w:val="24"/>
          <w:szCs w:val="24"/>
        </w:rPr>
        <w:t xml:space="preserve">Mindset </w:t>
      </w:r>
      <w:r w:rsidRPr="00A413B6">
        <w:rPr>
          <w:rFonts w:asciiTheme="majorBidi" w:eastAsia="Tahoma" w:hAnsiTheme="majorBidi" w:cstheme="majorBidi"/>
          <w:sz w:val="24"/>
          <w:szCs w:val="24"/>
        </w:rPr>
        <w:t>deposan yang masih berpikir secara konvensional dan masih ada</w:t>
      </w:r>
      <w:r w:rsidRPr="00A413B6">
        <w:rPr>
          <w:rFonts w:asciiTheme="majorBidi" w:eastAsia="Tahoma" w:hAnsiTheme="majorBidi" w:cstheme="majorBidi"/>
          <w:i/>
          <w:sz w:val="24"/>
          <w:szCs w:val="24"/>
        </w:rPr>
        <w:t xml:space="preserve"> </w:t>
      </w:r>
      <w:r w:rsidRPr="00A413B6">
        <w:rPr>
          <w:rFonts w:asciiTheme="majorBidi" w:eastAsia="Tahoma" w:hAnsiTheme="majorBidi" w:cstheme="majorBidi"/>
          <w:sz w:val="24"/>
          <w:szCs w:val="24"/>
        </w:rPr>
        <w:t>kesan di sebagian masyarakat bahwa bank syariah bersifat ekslusif dalam artian bahwa bank syariah hanya ditujukan untuk masyarakat muslim dan</w:t>
      </w:r>
      <w:bookmarkStart w:id="4" w:name="page92"/>
      <w:bookmarkEnd w:id="4"/>
      <w:r>
        <w:rPr>
          <w:rFonts w:asciiTheme="majorBidi" w:eastAsia="Tahoma" w:hAnsiTheme="majorBidi" w:cstheme="majorBidi"/>
          <w:sz w:val="24"/>
          <w:szCs w:val="24"/>
        </w:rPr>
        <w:t xml:space="preserve"> </w:t>
      </w:r>
      <w:r w:rsidRPr="00AA65EB">
        <w:rPr>
          <w:rFonts w:asciiTheme="majorBidi" w:eastAsia="Tahoma" w:hAnsiTheme="majorBidi" w:cstheme="majorBidi"/>
          <w:sz w:val="24"/>
          <w:szCs w:val="24"/>
        </w:rPr>
        <w:t>melibatkan kaum yang beragama muslim saja, hal ini dikarenakan sosialisasi perbankan syariah yang belum optimal. Oleh sebab fatwa menggunakan istilah-istilah berbahasa arab (terutama jenis akad). Selain itu, minimnya budget untuk marketing dan promosi juga menjadi kendala perbankan syariah untuk semakin dikenal di mata masyarakat luas;</w:t>
      </w:r>
    </w:p>
    <w:p w:rsidR="00723317" w:rsidRPr="00A413B6" w:rsidRDefault="00723317" w:rsidP="00723317">
      <w:pPr>
        <w:tabs>
          <w:tab w:val="left" w:pos="851"/>
        </w:tabs>
        <w:spacing w:line="2" w:lineRule="exact"/>
        <w:ind w:left="851" w:right="4" w:hanging="284"/>
        <w:rPr>
          <w:rFonts w:asciiTheme="majorBidi" w:eastAsia="Times New Roman" w:hAnsiTheme="majorBidi" w:cstheme="majorBidi"/>
          <w:sz w:val="24"/>
          <w:szCs w:val="24"/>
        </w:rPr>
      </w:pPr>
    </w:p>
    <w:p w:rsidR="00723317" w:rsidRPr="00A413B6" w:rsidRDefault="00723317" w:rsidP="00723317">
      <w:pPr>
        <w:numPr>
          <w:ilvl w:val="0"/>
          <w:numId w:val="45"/>
        </w:numPr>
        <w:tabs>
          <w:tab w:val="left" w:pos="567"/>
        </w:tabs>
        <w:spacing w:after="0" w:line="352" w:lineRule="auto"/>
        <w:ind w:left="567"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 xml:space="preserve">Peraturan untuk membuat iklim investasi di industri syariah masih kurang fleksibel, aturan perpajakan dan pertumbuhan produk dan jasa baru </w:t>
      </w:r>
      <w:r w:rsidRPr="00A413B6">
        <w:rPr>
          <w:rFonts w:asciiTheme="majorBidi" w:eastAsia="Tahoma" w:hAnsiTheme="majorBidi" w:cstheme="majorBidi"/>
          <w:sz w:val="24"/>
          <w:szCs w:val="24"/>
        </w:rPr>
        <w:lastRenderedPageBreak/>
        <w:t xml:space="preserve">belum didukung maksimal dengan landasan hukum yang memadai dalam </w:t>
      </w:r>
      <w:r>
        <w:rPr>
          <w:rFonts w:asciiTheme="majorBidi" w:eastAsia="Tahoma" w:hAnsiTheme="majorBidi" w:cstheme="majorBidi"/>
          <w:sz w:val="24"/>
          <w:szCs w:val="24"/>
        </w:rPr>
        <w:t>bentuk fatwa DSN-MUI</w:t>
      </w:r>
    </w:p>
    <w:p w:rsidR="00723317" w:rsidRPr="00A413B6" w:rsidRDefault="00723317" w:rsidP="00723317">
      <w:pPr>
        <w:tabs>
          <w:tab w:val="left" w:pos="567"/>
        </w:tabs>
        <w:spacing w:line="3" w:lineRule="exact"/>
        <w:ind w:left="567" w:right="4" w:hanging="283"/>
        <w:rPr>
          <w:rFonts w:asciiTheme="majorBidi" w:eastAsia="Tahoma" w:hAnsiTheme="majorBidi" w:cstheme="majorBidi"/>
          <w:sz w:val="24"/>
          <w:szCs w:val="24"/>
        </w:rPr>
      </w:pPr>
    </w:p>
    <w:p w:rsidR="00723317" w:rsidRPr="00A413B6" w:rsidRDefault="00723317" w:rsidP="00723317">
      <w:pPr>
        <w:numPr>
          <w:ilvl w:val="0"/>
          <w:numId w:val="45"/>
        </w:numPr>
        <w:tabs>
          <w:tab w:val="left" w:pos="567"/>
        </w:tabs>
        <w:spacing w:after="0" w:line="354" w:lineRule="auto"/>
        <w:ind w:left="567"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Keterbatasan sumber daya manusia yang memahami produk dan sistem syariah;</w:t>
      </w:r>
    </w:p>
    <w:p w:rsidR="00723317" w:rsidRPr="00A413B6" w:rsidRDefault="00723317" w:rsidP="00723317">
      <w:pPr>
        <w:tabs>
          <w:tab w:val="left" w:pos="567"/>
        </w:tabs>
        <w:spacing w:line="1" w:lineRule="exact"/>
        <w:ind w:left="567" w:right="4" w:hanging="283"/>
        <w:jc w:val="both"/>
        <w:rPr>
          <w:rFonts w:asciiTheme="majorBidi" w:eastAsia="Tahoma" w:hAnsiTheme="majorBidi" w:cstheme="majorBidi"/>
          <w:sz w:val="24"/>
          <w:szCs w:val="24"/>
        </w:rPr>
      </w:pPr>
    </w:p>
    <w:p w:rsidR="00723317" w:rsidRPr="00A413B6" w:rsidRDefault="00723317" w:rsidP="00723317">
      <w:pPr>
        <w:numPr>
          <w:ilvl w:val="0"/>
          <w:numId w:val="45"/>
        </w:numPr>
        <w:tabs>
          <w:tab w:val="left" w:pos="567"/>
        </w:tabs>
        <w:spacing w:after="0" w:line="0" w:lineRule="atLeast"/>
        <w:ind w:left="567"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Masih kurangnya modal yang dimiliki perbankan syariah;</w:t>
      </w:r>
    </w:p>
    <w:p w:rsidR="00723317" w:rsidRPr="00A413B6" w:rsidRDefault="00723317" w:rsidP="00723317">
      <w:pPr>
        <w:tabs>
          <w:tab w:val="left" w:pos="567"/>
        </w:tabs>
        <w:spacing w:line="125" w:lineRule="exact"/>
        <w:ind w:left="567" w:right="4" w:hanging="283"/>
        <w:rPr>
          <w:rFonts w:asciiTheme="majorBidi" w:eastAsia="Tahoma" w:hAnsiTheme="majorBidi" w:cstheme="majorBidi"/>
          <w:sz w:val="24"/>
          <w:szCs w:val="24"/>
        </w:rPr>
      </w:pPr>
    </w:p>
    <w:p w:rsidR="00723317" w:rsidRPr="00A413B6" w:rsidRDefault="00723317" w:rsidP="00723317">
      <w:pPr>
        <w:numPr>
          <w:ilvl w:val="0"/>
          <w:numId w:val="45"/>
        </w:numPr>
        <w:tabs>
          <w:tab w:val="left" w:pos="567"/>
        </w:tabs>
        <w:spacing w:after="0" w:line="353" w:lineRule="auto"/>
        <w:ind w:left="567"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Lembaga arbitrase syariah nasional yang ada sekarang bukan dibentuk oleh pemerintah tetapi oleh MUI. Hal ini menyebabkan lembaga ini tidak memiliki kewenangan yang mengikat;</w:t>
      </w:r>
    </w:p>
    <w:p w:rsidR="00723317" w:rsidRPr="00A413B6" w:rsidRDefault="00723317" w:rsidP="00723317">
      <w:pPr>
        <w:tabs>
          <w:tab w:val="left" w:pos="567"/>
        </w:tabs>
        <w:spacing w:line="3" w:lineRule="exact"/>
        <w:ind w:left="567" w:right="4" w:hanging="283"/>
        <w:rPr>
          <w:rFonts w:asciiTheme="majorBidi" w:eastAsia="Tahoma" w:hAnsiTheme="majorBidi" w:cstheme="majorBidi"/>
          <w:sz w:val="24"/>
          <w:szCs w:val="24"/>
        </w:rPr>
      </w:pPr>
    </w:p>
    <w:p w:rsidR="00723317" w:rsidRPr="00A413B6" w:rsidRDefault="00723317" w:rsidP="00723317">
      <w:pPr>
        <w:numPr>
          <w:ilvl w:val="0"/>
          <w:numId w:val="45"/>
        </w:numPr>
        <w:tabs>
          <w:tab w:val="left" w:pos="567"/>
        </w:tabs>
        <w:spacing w:after="0" w:line="0" w:lineRule="atLeast"/>
        <w:ind w:left="567"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Fasilitas dari pemerintah terkait penyelesaian pembiayaan bermasalah;</w:t>
      </w:r>
    </w:p>
    <w:p w:rsidR="00723317" w:rsidRPr="00A413B6" w:rsidRDefault="00723317" w:rsidP="00723317">
      <w:pPr>
        <w:spacing w:line="130" w:lineRule="exact"/>
        <w:ind w:right="4"/>
        <w:jc w:val="both"/>
        <w:rPr>
          <w:rFonts w:asciiTheme="majorBidi" w:eastAsia="Tahoma" w:hAnsiTheme="majorBidi" w:cstheme="majorBidi"/>
          <w:sz w:val="24"/>
          <w:szCs w:val="24"/>
        </w:rPr>
      </w:pPr>
    </w:p>
    <w:p w:rsidR="00723317" w:rsidRPr="007A64BB" w:rsidRDefault="00723317" w:rsidP="00723317">
      <w:pPr>
        <w:spacing w:line="371" w:lineRule="auto"/>
        <w:ind w:right="4" w:firstLine="567"/>
        <w:jc w:val="both"/>
        <w:rPr>
          <w:rFonts w:asciiTheme="majorBidi" w:eastAsia="Tahoma" w:hAnsiTheme="majorBidi" w:cstheme="majorBidi"/>
          <w:sz w:val="24"/>
          <w:szCs w:val="24"/>
        </w:rPr>
      </w:pPr>
      <w:r w:rsidRPr="00A413B6">
        <w:rPr>
          <w:rFonts w:asciiTheme="majorBidi" w:eastAsia="Tahoma" w:hAnsiTheme="majorBidi" w:cstheme="majorBidi"/>
          <w:sz w:val="24"/>
          <w:szCs w:val="24"/>
        </w:rPr>
        <w:t>Menurut Yeni Salma Barlinti, kendala-kendala dalam penerapan fatwa ekonomi syariah, antara lain disebabkan tidak semua pelaku ekonomi syariah mengetahui adanya fatwa DSN-MUI; masih banyaknya anggapan bahwa fatwa DSN-MUI tidak memiliki kekuatan hukum; fatwa DSN-MUI tidak dapat diterapkan secara sempurna karena adanya hukum-hukum yang telah berlaku yang harus dipatuhi oleh pelaku ekonomi syariah dan masih banyak</w:t>
      </w:r>
      <w:bookmarkStart w:id="5" w:name="page93"/>
      <w:bookmarkEnd w:id="5"/>
      <w:r>
        <w:rPr>
          <w:rFonts w:asciiTheme="majorBidi" w:eastAsia="Tahoma" w:hAnsiTheme="majorBidi" w:cstheme="majorBidi"/>
          <w:sz w:val="24"/>
          <w:szCs w:val="24"/>
        </w:rPr>
        <w:t xml:space="preserve"> </w:t>
      </w:r>
      <w:r w:rsidRPr="00A413B6">
        <w:rPr>
          <w:rFonts w:asciiTheme="majorBidi" w:eastAsia="Tahoma" w:hAnsiTheme="majorBidi" w:cstheme="majorBidi"/>
          <w:sz w:val="24"/>
          <w:szCs w:val="24"/>
        </w:rPr>
        <w:t>peraturan perundang-undangan yang belum menunjang pelaksanaan fatwa DSN-MUI.</w:t>
      </w:r>
      <w:r>
        <w:rPr>
          <w:rFonts w:asciiTheme="majorBidi" w:eastAsia="Tahoma" w:hAnsiTheme="majorBidi" w:cstheme="majorBidi"/>
          <w:sz w:val="24"/>
          <w:szCs w:val="24"/>
          <w:vertAlign w:val="superscript"/>
        </w:rPr>
        <w:t xml:space="preserve"> </w:t>
      </w:r>
      <w:r w:rsidRPr="00A413B6">
        <w:rPr>
          <w:rFonts w:asciiTheme="majorBidi" w:eastAsia="Tahoma" w:hAnsiTheme="majorBidi" w:cstheme="majorBidi"/>
          <w:sz w:val="24"/>
          <w:szCs w:val="24"/>
        </w:rPr>
        <w:t>Merujuk perihal kendala-kendala sebagaimana tersebut di atas, maka letak permasalahan secara garis besar terletak pada:</w:t>
      </w:r>
    </w:p>
    <w:p w:rsidR="00723317" w:rsidRPr="007A64BB" w:rsidRDefault="00723317" w:rsidP="00723317">
      <w:pPr>
        <w:spacing w:line="352" w:lineRule="auto"/>
        <w:ind w:left="709"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lastRenderedPageBreak/>
        <w:t>b. Proses ‘penterjemaahan’ atau ‘penyerapan’ Fatwa DSN-MUI ke dalam peraturan perundang-undangan;</w:t>
      </w:r>
    </w:p>
    <w:p w:rsidR="00723317" w:rsidRPr="007A64BB" w:rsidRDefault="00723317" w:rsidP="00723317">
      <w:pPr>
        <w:spacing w:line="352" w:lineRule="auto"/>
        <w:ind w:left="709" w:right="4" w:hanging="283"/>
        <w:jc w:val="both"/>
        <w:rPr>
          <w:rFonts w:asciiTheme="majorBidi" w:eastAsia="Tahoma" w:hAnsiTheme="majorBidi" w:cstheme="majorBidi"/>
          <w:sz w:val="24"/>
          <w:szCs w:val="24"/>
        </w:rPr>
      </w:pPr>
      <w:r w:rsidRPr="00A413B6">
        <w:rPr>
          <w:rFonts w:asciiTheme="majorBidi" w:eastAsia="Tahoma" w:hAnsiTheme="majorBidi" w:cstheme="majorBidi"/>
          <w:sz w:val="24"/>
          <w:szCs w:val="24"/>
        </w:rPr>
        <w:t>c. Kesiapan</w:t>
      </w:r>
      <w:r w:rsidRPr="00A413B6">
        <w:rPr>
          <w:rFonts w:asciiTheme="majorBidi" w:eastAsia="Times New Roman" w:hAnsiTheme="majorBidi" w:cstheme="majorBidi"/>
          <w:sz w:val="24"/>
          <w:szCs w:val="24"/>
        </w:rPr>
        <w:t xml:space="preserve"> </w:t>
      </w:r>
      <w:r w:rsidRPr="00A413B6">
        <w:rPr>
          <w:rFonts w:asciiTheme="majorBidi" w:eastAsia="Tahoma" w:hAnsiTheme="majorBidi" w:cstheme="majorBidi"/>
          <w:sz w:val="24"/>
          <w:szCs w:val="24"/>
        </w:rPr>
        <w:t>pihak perbankan syariah untuk menyesuaikan kegiatan operasional dan produk perbankan mereka dengan Fatwa DSN-MUI;</w:t>
      </w:r>
    </w:p>
    <w:p w:rsidR="00723317" w:rsidRDefault="00723317" w:rsidP="00723317">
      <w:pPr>
        <w:spacing w:line="352" w:lineRule="auto"/>
        <w:ind w:right="4" w:firstLine="709"/>
        <w:jc w:val="both"/>
        <w:rPr>
          <w:rFonts w:asciiTheme="majorBidi" w:eastAsia="Tahoma" w:hAnsiTheme="majorBidi" w:cstheme="majorBidi"/>
          <w:sz w:val="24"/>
          <w:szCs w:val="24"/>
        </w:rPr>
      </w:pPr>
      <w:r w:rsidRPr="00A413B6">
        <w:rPr>
          <w:rFonts w:asciiTheme="majorBidi" w:eastAsia="Tahoma" w:hAnsiTheme="majorBidi" w:cstheme="majorBidi"/>
          <w:sz w:val="24"/>
          <w:szCs w:val="24"/>
        </w:rPr>
        <w:t>Berdasarkan kendala-kendala dalam penerapan fatwa DSN-MUI tersebut dalam pelaksanaan ekonomi syariah, maka untuk meminimalkan kendala tersebut yang dapat dilakukan antara lain yaitu:</w:t>
      </w:r>
      <w:r>
        <w:rPr>
          <w:rFonts w:asciiTheme="majorBidi" w:eastAsia="Tahoma" w:hAnsiTheme="majorBidi" w:cstheme="majorBidi"/>
          <w:sz w:val="24"/>
          <w:szCs w:val="24"/>
        </w:rPr>
        <w:t xml:space="preserve"> </w:t>
      </w:r>
      <w:r w:rsidRPr="00A413B6">
        <w:rPr>
          <w:rFonts w:asciiTheme="majorBidi" w:eastAsia="Tahoma" w:hAnsiTheme="majorBidi" w:cstheme="majorBidi"/>
          <w:sz w:val="24"/>
          <w:szCs w:val="24"/>
        </w:rPr>
        <w:t>Perkembangan</w:t>
      </w:r>
      <w:r w:rsidRPr="00A413B6">
        <w:rPr>
          <w:rFonts w:asciiTheme="majorBidi" w:eastAsia="Times New Roman" w:hAnsiTheme="majorBidi" w:cstheme="majorBidi"/>
          <w:sz w:val="24"/>
          <w:szCs w:val="24"/>
        </w:rPr>
        <w:t xml:space="preserve"> </w:t>
      </w:r>
      <w:r w:rsidRPr="00A413B6">
        <w:rPr>
          <w:rFonts w:asciiTheme="majorBidi" w:eastAsia="Tahoma" w:hAnsiTheme="majorBidi" w:cstheme="majorBidi"/>
          <w:sz w:val="24"/>
          <w:szCs w:val="24"/>
        </w:rPr>
        <w:t xml:space="preserve">perbankan syariah yang dinamis tidak diikuti oleh kedinamisan fatwa DSN-MUI yang dapat menjawab kebutuhan perbankan syariah. Oleh karena itu perlunya dilibatkan lebih aktif partisipasi stakeholders </w:t>
      </w:r>
      <w:r>
        <w:rPr>
          <w:rFonts w:asciiTheme="majorBidi" w:eastAsia="Tahoma" w:hAnsiTheme="majorBidi" w:cstheme="majorBidi"/>
          <w:sz w:val="24"/>
          <w:szCs w:val="24"/>
        </w:rPr>
        <w:t xml:space="preserve">salah satunya adalah </w:t>
      </w:r>
      <w:r w:rsidRPr="00A413B6">
        <w:rPr>
          <w:rFonts w:asciiTheme="majorBidi" w:eastAsia="Tahoma" w:hAnsiTheme="majorBidi" w:cstheme="majorBidi"/>
          <w:sz w:val="24"/>
          <w:szCs w:val="24"/>
        </w:rPr>
        <w:t xml:space="preserve"> DSN-MUI dalam setiap penyusunan Fatwa DSN-MUI, sehingga fatwa-fatwa yang dihasilkan dapat menjawab kebutuhan perbankan syariah dan dalam proses ‘penterjemaahan’ dan ‘penyerapan’ tidak menimbulkan multi</w:t>
      </w:r>
      <w:bookmarkStart w:id="6" w:name="_GoBack"/>
      <w:bookmarkEnd w:id="6"/>
      <w:r w:rsidRPr="00A413B6">
        <w:rPr>
          <w:rFonts w:asciiTheme="majorBidi" w:eastAsia="Tahoma" w:hAnsiTheme="majorBidi" w:cstheme="majorBidi"/>
          <w:sz w:val="24"/>
          <w:szCs w:val="24"/>
        </w:rPr>
        <w:t>tafsir dan dapat langsung diimplementasikan sehingga aspek kehati-hatian dalam kegiatan perbankan syariah dapat terjaga.</w:t>
      </w:r>
      <w:r>
        <w:rPr>
          <w:rFonts w:asciiTheme="majorBidi" w:eastAsia="Tahoma" w:hAnsiTheme="majorBidi" w:cstheme="majorBidi"/>
          <w:sz w:val="24"/>
          <w:szCs w:val="24"/>
        </w:rPr>
        <w:t xml:space="preserve"> </w:t>
      </w:r>
      <w:r w:rsidRPr="00A413B6">
        <w:rPr>
          <w:rFonts w:asciiTheme="majorBidi" w:eastAsia="Tahoma" w:hAnsiTheme="majorBidi" w:cstheme="majorBidi"/>
          <w:sz w:val="24"/>
          <w:szCs w:val="24"/>
        </w:rPr>
        <w:t xml:space="preserve">Peningkatan kualitas sumber daya manusia dari pihak perbankan syariah perlu dilakukan sebagai langkah aktif dari pihak perbankan syariah untuk siap dan faham terhadap prinsip-prinsip perbankan syariah. Hal ini mengingat masih banyak sumber daya manusia dari pihak perbankan syariah yang masih menggunakan perspektif prinsip </w:t>
      </w:r>
      <w:r w:rsidRPr="00A413B6">
        <w:rPr>
          <w:rFonts w:asciiTheme="majorBidi" w:eastAsia="Tahoma" w:hAnsiTheme="majorBidi" w:cstheme="majorBidi"/>
          <w:sz w:val="24"/>
          <w:szCs w:val="24"/>
        </w:rPr>
        <w:lastRenderedPageBreak/>
        <w:t>perbankan konvensional ketika menjalankan perbankan syariah, sehingga apabila</w:t>
      </w:r>
    </w:p>
    <w:p w:rsidR="00DC7558" w:rsidRPr="00DC7558" w:rsidRDefault="00DC7558" w:rsidP="00DC7558">
      <w:pPr>
        <w:pStyle w:val="ListParagraph"/>
        <w:numPr>
          <w:ilvl w:val="0"/>
          <w:numId w:val="40"/>
        </w:numPr>
        <w:spacing w:line="352" w:lineRule="auto"/>
        <w:ind w:left="284" w:right="4" w:hanging="284"/>
        <w:jc w:val="both"/>
        <w:rPr>
          <w:rFonts w:asciiTheme="majorBidi" w:eastAsia="Tahoma" w:hAnsiTheme="majorBidi" w:cstheme="majorBidi"/>
          <w:b/>
          <w:sz w:val="24"/>
          <w:szCs w:val="24"/>
        </w:rPr>
      </w:pPr>
      <w:r w:rsidRPr="00DC7558">
        <w:rPr>
          <w:rFonts w:asciiTheme="majorBidi" w:eastAsia="Tahoma" w:hAnsiTheme="majorBidi" w:cstheme="majorBidi"/>
          <w:b/>
          <w:sz w:val="24"/>
          <w:szCs w:val="24"/>
        </w:rPr>
        <w:t xml:space="preserve">Daftar Pustaka </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heme="majorBidi" w:eastAsia="Tahoma" w:hAnsiTheme="majorBidi" w:cstheme="majorBidi"/>
          <w:sz w:val="24"/>
          <w:szCs w:val="24"/>
        </w:rPr>
        <w:fldChar w:fldCharType="begin" w:fldLock="1"/>
      </w:r>
      <w:r>
        <w:rPr>
          <w:rFonts w:asciiTheme="majorBidi" w:eastAsia="Tahoma" w:hAnsiTheme="majorBidi" w:cstheme="majorBidi"/>
          <w:sz w:val="24"/>
          <w:szCs w:val="24"/>
        </w:rPr>
        <w:instrText xml:space="preserve">ADDIN Mendeley Bibliography CSL_BIBLIOGRAPHY </w:instrText>
      </w:r>
      <w:r>
        <w:rPr>
          <w:rFonts w:asciiTheme="majorBidi" w:eastAsia="Tahoma" w:hAnsiTheme="majorBidi" w:cstheme="majorBidi"/>
          <w:sz w:val="24"/>
          <w:szCs w:val="24"/>
        </w:rPr>
        <w:fldChar w:fldCharType="separate"/>
      </w:r>
      <w:r w:rsidRPr="00485DB5">
        <w:rPr>
          <w:rFonts w:ascii="Times New Roman" w:hAnsi="Times New Roman" w:cs="Times New Roman"/>
          <w:noProof/>
          <w:sz w:val="24"/>
          <w:szCs w:val="24"/>
        </w:rPr>
        <w:t xml:space="preserve">Al-Hakim, Sofyan, ‘Perkembangan Regulasi Perbankan Syariah Di Indonesia’, </w:t>
      </w:r>
      <w:r w:rsidRPr="00485DB5">
        <w:rPr>
          <w:rFonts w:ascii="Times New Roman" w:hAnsi="Times New Roman" w:cs="Times New Roman"/>
          <w:i/>
          <w:iCs/>
          <w:noProof/>
          <w:sz w:val="24"/>
          <w:szCs w:val="24"/>
        </w:rPr>
        <w:t>Ijtihad : Jurnal Wacana Hukum Islam Dan Kemanusiaan</w:t>
      </w:r>
      <w:r w:rsidRPr="00485DB5">
        <w:rPr>
          <w:rFonts w:ascii="Times New Roman" w:hAnsi="Times New Roman" w:cs="Times New Roman"/>
          <w:noProof/>
          <w:sz w:val="24"/>
          <w:szCs w:val="24"/>
        </w:rPr>
        <w:t>, 2013 &lt;https://doi.org/10.18326/ijtihad.v13i1.15-31&gt;</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Bukiting, firman KCP BSM, ‘No Title’, 2019, p. wawancara langsung</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By Admin, ‘Perkembangan Fatwa Dewan Syariah Nasional Sebelum Lahirnya UU No. 21 Tahun 2008 Tentang Perbankan Syariah’, </w:t>
      </w:r>
      <w:r w:rsidRPr="00485DB5">
        <w:rPr>
          <w:rFonts w:ascii="Times New Roman" w:hAnsi="Times New Roman" w:cs="Times New Roman"/>
          <w:i/>
          <w:iCs/>
          <w:noProof/>
          <w:sz w:val="24"/>
          <w:szCs w:val="24"/>
        </w:rPr>
        <w:t>Thursday, 22 December</w:t>
      </w:r>
      <w:r w:rsidRPr="00485DB5">
        <w:rPr>
          <w:rFonts w:ascii="Times New Roman" w:hAnsi="Times New Roman" w:cs="Times New Roman"/>
          <w:noProof/>
          <w:sz w:val="24"/>
          <w:szCs w:val="24"/>
        </w:rPr>
        <w:t>, 2016</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Fariana, Andi, ‘Urgensi Fatwa MUI Dalam Pembangunan Sistem Hukum Ekonomi Islam Di Indonesia’, </w:t>
      </w:r>
      <w:r w:rsidRPr="00485DB5">
        <w:rPr>
          <w:rFonts w:ascii="Times New Roman" w:hAnsi="Times New Roman" w:cs="Times New Roman"/>
          <w:i/>
          <w:iCs/>
          <w:noProof/>
          <w:sz w:val="24"/>
          <w:szCs w:val="24"/>
        </w:rPr>
        <w:t>Al-Ihkam: Jurnal Hukum &amp; Pranata Sosial</w:t>
      </w:r>
      <w:r w:rsidRPr="00485DB5">
        <w:rPr>
          <w:rFonts w:ascii="Times New Roman" w:hAnsi="Times New Roman" w:cs="Times New Roman"/>
          <w:noProof/>
          <w:sz w:val="24"/>
          <w:szCs w:val="24"/>
        </w:rPr>
        <w:t>, 2017 &lt;https://doi.org/10.19105/al-ihkam.v12i1.1191&gt;</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Hasanah, Tuti, ‘TRANSFORMASI FATWA DEWAN SYARIAH NASIONAL KE DALAM HUKUM POSITIF’, </w:t>
      </w:r>
      <w:r w:rsidRPr="00485DB5">
        <w:rPr>
          <w:rFonts w:ascii="Times New Roman" w:hAnsi="Times New Roman" w:cs="Times New Roman"/>
          <w:i/>
          <w:iCs/>
          <w:noProof/>
          <w:sz w:val="24"/>
          <w:szCs w:val="24"/>
        </w:rPr>
        <w:t>Syariah Jurnal Hukum Dan Pemikiran</w:t>
      </w:r>
      <w:r w:rsidRPr="00485DB5">
        <w:rPr>
          <w:rFonts w:ascii="Times New Roman" w:hAnsi="Times New Roman" w:cs="Times New Roman"/>
          <w:noProof/>
          <w:sz w:val="24"/>
          <w:szCs w:val="24"/>
        </w:rPr>
        <w:t>, 2017 &lt;https://doi.org/10.18592/sy.v16i2.1022&gt;</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hendri kamal, direktur BPRS Haji Miskin, ‘No Title’, 2019, p. wawancara langsung</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Hidayah, N, ‘Fatwa-Fatwa Dewan Syariah Nasional Atas Aspek Hukum Islam Perbankan Syariah Di Indonesia’, </w:t>
      </w:r>
      <w:r w:rsidRPr="00485DB5">
        <w:rPr>
          <w:rFonts w:ascii="Times New Roman" w:hAnsi="Times New Roman" w:cs="Times New Roman"/>
          <w:i/>
          <w:iCs/>
          <w:noProof/>
          <w:sz w:val="24"/>
          <w:szCs w:val="24"/>
        </w:rPr>
        <w:t>Al-’Adalah</w:t>
      </w:r>
      <w:r w:rsidRPr="00485DB5">
        <w:rPr>
          <w:rFonts w:ascii="Times New Roman" w:hAnsi="Times New Roman" w:cs="Times New Roman"/>
          <w:noProof/>
          <w:sz w:val="24"/>
          <w:szCs w:val="24"/>
        </w:rPr>
        <w:t>, 2011</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Iswahyudi, ., ‘MUI Dan Nalar Fatwa-Fatwa Eksklusif’, </w:t>
      </w:r>
      <w:r w:rsidRPr="00485DB5">
        <w:rPr>
          <w:rFonts w:ascii="Times New Roman" w:hAnsi="Times New Roman" w:cs="Times New Roman"/>
          <w:i/>
          <w:iCs/>
          <w:noProof/>
          <w:sz w:val="24"/>
          <w:szCs w:val="24"/>
        </w:rPr>
        <w:t>Al-Ihkam: Jurnal Hukum &amp; Pranata Sosial</w:t>
      </w:r>
      <w:r w:rsidRPr="00485DB5">
        <w:rPr>
          <w:rFonts w:ascii="Times New Roman" w:hAnsi="Times New Roman" w:cs="Times New Roman"/>
          <w:noProof/>
          <w:sz w:val="24"/>
          <w:szCs w:val="24"/>
        </w:rPr>
        <w:t>, 2017 &lt;https://doi.org/10.19105/al-ihkam.v11i2.785&gt;</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‘KEDUDUKAN MAJELIS ULAMA INDONESIA (MUI) DAN KOMISI FATWANYA DALAM SISTEM HUKUM TATA NEGARA’, </w:t>
      </w:r>
      <w:r w:rsidRPr="00485DB5">
        <w:rPr>
          <w:rFonts w:ascii="Times New Roman" w:hAnsi="Times New Roman" w:cs="Times New Roman"/>
          <w:i/>
          <w:iCs/>
          <w:noProof/>
          <w:sz w:val="24"/>
          <w:szCs w:val="24"/>
        </w:rPr>
        <w:t>El-QUDWAH</w:t>
      </w:r>
      <w:r w:rsidRPr="00485DB5">
        <w:rPr>
          <w:rFonts w:ascii="Times New Roman" w:hAnsi="Times New Roman" w:cs="Times New Roman"/>
          <w:noProof/>
          <w:sz w:val="24"/>
          <w:szCs w:val="24"/>
        </w:rPr>
        <w:t>, 2011</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lastRenderedPageBreak/>
        <w:t xml:space="preserve">Khair, Abdul, ‘DINAMIKA PENATAAN REGULASI EKONOMI SYARIAN’, </w:t>
      </w:r>
      <w:r w:rsidRPr="00485DB5">
        <w:rPr>
          <w:rFonts w:ascii="Times New Roman" w:hAnsi="Times New Roman" w:cs="Times New Roman"/>
          <w:i/>
          <w:iCs/>
          <w:noProof/>
          <w:sz w:val="24"/>
          <w:szCs w:val="24"/>
        </w:rPr>
        <w:t>El-Mashlahah</w:t>
      </w:r>
      <w:r w:rsidRPr="00485DB5">
        <w:rPr>
          <w:rFonts w:ascii="Times New Roman" w:hAnsi="Times New Roman" w:cs="Times New Roman"/>
          <w:noProof/>
          <w:sz w:val="24"/>
          <w:szCs w:val="24"/>
        </w:rPr>
        <w:t>, 2019 &lt;https://doi.org/10.23971/el-mas.v8i2.1322&gt;</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Mawardi, Mawardi, ‘AL-‘UQUD AL-MURAKKABAH SEBAGAI PROGRESIFITAS HUKUM EKONOMI SYARIAH DALAM PENGEMBANGAN AKAD-AKAD PERBANKAN SYARIAH DI INDONESIA’, </w:t>
      </w:r>
      <w:r w:rsidRPr="00485DB5">
        <w:rPr>
          <w:rFonts w:ascii="Times New Roman" w:hAnsi="Times New Roman" w:cs="Times New Roman"/>
          <w:i/>
          <w:iCs/>
          <w:noProof/>
          <w:sz w:val="24"/>
          <w:szCs w:val="24"/>
        </w:rPr>
        <w:t>Hukum Islam</w:t>
      </w:r>
      <w:r w:rsidRPr="00485DB5">
        <w:rPr>
          <w:rFonts w:ascii="Times New Roman" w:hAnsi="Times New Roman" w:cs="Times New Roman"/>
          <w:noProof/>
          <w:sz w:val="24"/>
          <w:szCs w:val="24"/>
        </w:rPr>
        <w:t>, 2019 &lt;https://doi.org/10.24014/hi.v18i2.6693&gt;</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Misbach, Irwan, ‘Kedudukan Dan Fungsi Dewan Pengawas Syariah Dalam Mengawasi Transaksi Lembaga Keuangan Syariah Di Indonesia’, </w:t>
      </w:r>
      <w:r w:rsidRPr="00485DB5">
        <w:rPr>
          <w:rFonts w:ascii="Times New Roman" w:hAnsi="Times New Roman" w:cs="Times New Roman"/>
          <w:i/>
          <w:iCs/>
          <w:noProof/>
          <w:sz w:val="24"/>
          <w:szCs w:val="24"/>
        </w:rPr>
        <w:t>Fakultas Dakwah Dan Komunikasi UIN Alauddin Makassar</w:t>
      </w:r>
      <w:r w:rsidRPr="00485DB5">
        <w:rPr>
          <w:rFonts w:ascii="Times New Roman" w:hAnsi="Times New Roman" w:cs="Times New Roman"/>
          <w:noProof/>
          <w:sz w:val="24"/>
          <w:szCs w:val="24"/>
        </w:rPr>
        <w:t>, 2014</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Muhammad, Wildan Imaduddin, ‘Keberanjakan Fatwa Dari LEgal Opinion Menjadi Legal Binding ( Studi Kasus Fatwa DSN MUI Tentang Perbankan Syariah )’, </w:t>
      </w:r>
      <w:r w:rsidRPr="00485DB5">
        <w:rPr>
          <w:rFonts w:ascii="Times New Roman" w:hAnsi="Times New Roman" w:cs="Times New Roman"/>
          <w:i/>
          <w:iCs/>
          <w:noProof/>
          <w:sz w:val="24"/>
          <w:szCs w:val="24"/>
        </w:rPr>
        <w:t>Jurisprudensi: Jurnal Ilmu Syariah, Perundang-Undangan Dan Ekonomi Islam</w:t>
      </w:r>
      <w:r w:rsidRPr="00485DB5">
        <w:rPr>
          <w:rFonts w:ascii="Times New Roman" w:hAnsi="Times New Roman" w:cs="Times New Roman"/>
          <w:noProof/>
          <w:sz w:val="24"/>
          <w:szCs w:val="24"/>
        </w:rPr>
        <w:t>, 11.2 (2019), 146–63</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 xml:space="preserve">Riadi, M Erfan, ‘Kedudukan Fatwa Ditinjau Dari Hukum Islam Dan Hukum Positif (Analisis Yuridis Normatif)’, </w:t>
      </w:r>
      <w:r w:rsidRPr="00485DB5">
        <w:rPr>
          <w:rFonts w:ascii="Times New Roman" w:hAnsi="Times New Roman" w:cs="Times New Roman"/>
          <w:i/>
          <w:iCs/>
          <w:noProof/>
          <w:sz w:val="24"/>
          <w:szCs w:val="24"/>
        </w:rPr>
        <w:t>ULUMUDDIN</w:t>
      </w:r>
      <w:r w:rsidRPr="00485DB5">
        <w:rPr>
          <w:rFonts w:ascii="Times New Roman" w:hAnsi="Times New Roman" w:cs="Times New Roman"/>
          <w:noProof/>
          <w:sz w:val="24"/>
          <w:szCs w:val="24"/>
        </w:rPr>
        <w:t>, 2010</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85DB5">
        <w:rPr>
          <w:rFonts w:ascii="Times New Roman" w:hAnsi="Times New Roman" w:cs="Times New Roman"/>
          <w:noProof/>
          <w:sz w:val="24"/>
          <w:szCs w:val="24"/>
        </w:rPr>
        <w:t>Satriadi Ghafar, Komisaris BPRS Al-Makmur, ‘No Title’, 2019, p. wawancara langsung</w:t>
      </w:r>
    </w:p>
    <w:p w:rsidR="00485DB5" w:rsidRPr="00485DB5" w:rsidRDefault="00485DB5" w:rsidP="008C6108">
      <w:pPr>
        <w:widowControl w:val="0"/>
        <w:autoSpaceDE w:val="0"/>
        <w:autoSpaceDN w:val="0"/>
        <w:adjustRightInd w:val="0"/>
        <w:spacing w:line="240" w:lineRule="auto"/>
        <w:ind w:left="480" w:hanging="480"/>
        <w:jc w:val="both"/>
        <w:rPr>
          <w:rFonts w:ascii="Times New Roman" w:hAnsi="Times New Roman" w:cs="Times New Roman"/>
          <w:noProof/>
          <w:sz w:val="24"/>
        </w:rPr>
      </w:pPr>
      <w:r w:rsidRPr="00485DB5">
        <w:rPr>
          <w:rFonts w:ascii="Times New Roman" w:hAnsi="Times New Roman" w:cs="Times New Roman"/>
          <w:noProof/>
          <w:sz w:val="24"/>
          <w:szCs w:val="24"/>
        </w:rPr>
        <w:t xml:space="preserve">Wahid, Soleh Hasan, ‘POLA TRANSFORMASI FATWA EKONOMI SYARIAH DSN-MUI DALAM PERATURAN PERUNDANG-UNDANGAN DI INDONESIA’, </w:t>
      </w:r>
      <w:r w:rsidRPr="00485DB5">
        <w:rPr>
          <w:rFonts w:ascii="Times New Roman" w:hAnsi="Times New Roman" w:cs="Times New Roman"/>
          <w:i/>
          <w:iCs/>
          <w:noProof/>
          <w:sz w:val="24"/>
          <w:szCs w:val="24"/>
        </w:rPr>
        <w:t>Ahkam: Jurnal Hukum Islam</w:t>
      </w:r>
      <w:r w:rsidRPr="00485DB5">
        <w:rPr>
          <w:rFonts w:ascii="Times New Roman" w:hAnsi="Times New Roman" w:cs="Times New Roman"/>
          <w:noProof/>
          <w:sz w:val="24"/>
          <w:szCs w:val="24"/>
        </w:rPr>
        <w:t>, 2016 &lt;https://doi.org/10.21274/ahkam.2016.4.2.171-198&gt;</w:t>
      </w:r>
    </w:p>
    <w:p w:rsidR="001A232A" w:rsidRDefault="00485DB5" w:rsidP="008C6108">
      <w:pPr>
        <w:pStyle w:val="ListParagraph"/>
        <w:spacing w:line="352" w:lineRule="auto"/>
        <w:ind w:left="284" w:right="4"/>
        <w:jc w:val="both"/>
        <w:rPr>
          <w:rFonts w:asciiTheme="majorBidi" w:eastAsia="Tahoma" w:hAnsiTheme="majorBidi" w:cstheme="majorBidi"/>
          <w:sz w:val="24"/>
          <w:szCs w:val="24"/>
        </w:rPr>
      </w:pPr>
      <w:r>
        <w:rPr>
          <w:rFonts w:asciiTheme="majorBidi" w:eastAsia="Tahoma" w:hAnsiTheme="majorBidi" w:cstheme="majorBidi"/>
          <w:sz w:val="24"/>
          <w:szCs w:val="24"/>
        </w:rPr>
        <w:fldChar w:fldCharType="end"/>
      </w:r>
    </w:p>
    <w:p w:rsidR="001A232A" w:rsidRPr="00DC7558" w:rsidRDefault="001A232A" w:rsidP="00DC7558">
      <w:pPr>
        <w:pStyle w:val="ListParagraph"/>
        <w:spacing w:line="352" w:lineRule="auto"/>
        <w:ind w:left="284" w:right="4"/>
        <w:jc w:val="both"/>
        <w:rPr>
          <w:rFonts w:asciiTheme="majorBidi" w:eastAsia="Tahoma" w:hAnsiTheme="majorBidi" w:cstheme="majorBidi"/>
          <w:sz w:val="24"/>
          <w:szCs w:val="24"/>
        </w:rPr>
      </w:pPr>
    </w:p>
    <w:sectPr w:rsidR="001A232A" w:rsidRPr="00DC7558" w:rsidSect="00DC7558">
      <w:type w:val="continuous"/>
      <w:pgSz w:w="11907" w:h="16839" w:code="9"/>
      <w:pgMar w:top="1361" w:right="1134" w:bottom="1134" w:left="1418" w:header="680" w:footer="680" w:gutter="0"/>
      <w:cols w:num="2"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C5" w:rsidRDefault="00706BC5" w:rsidP="00064095">
      <w:pPr>
        <w:spacing w:after="0" w:line="240" w:lineRule="auto"/>
      </w:pPr>
      <w:r>
        <w:separator/>
      </w:r>
    </w:p>
  </w:endnote>
  <w:endnote w:type="continuationSeparator" w:id="0">
    <w:p w:rsidR="00706BC5" w:rsidRDefault="00706BC5" w:rsidP="0006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2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ajan Pro">
    <w:altName w:val="Times New Roman"/>
    <w:panose1 w:val="00000000000000000000"/>
    <w:charset w:val="00"/>
    <w:family w:val="roman"/>
    <w:notTrueType/>
    <w:pitch w:val="variable"/>
    <w:sig w:usb0="00000001" w:usb1="5000204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94" w:rsidRDefault="00623B94" w:rsidP="00AB41FF">
    <w:pPr>
      <w:spacing w:after="0" w:line="240" w:lineRule="auto"/>
      <w:rPr>
        <w:rFonts w:asciiTheme="majorBidi" w:hAnsiTheme="majorBidi" w:cstheme="majorBidi"/>
      </w:rPr>
    </w:pPr>
  </w:p>
  <w:sdt>
    <w:sdtPr>
      <w:rPr>
        <w:rFonts w:asciiTheme="majorBidi" w:hAnsiTheme="majorBidi" w:cstheme="majorBidi"/>
      </w:rPr>
      <w:id w:val="-1153826066"/>
      <w:docPartObj>
        <w:docPartGallery w:val="Page Numbers (Bottom of Page)"/>
        <w:docPartUnique/>
      </w:docPartObj>
    </w:sdtPr>
    <w:sdtEndPr>
      <w:rPr>
        <w:noProof/>
      </w:rPr>
    </w:sdtEndPr>
    <w:sdtContent>
      <w:sdt>
        <w:sdtPr>
          <w:rPr>
            <w:rFonts w:asciiTheme="majorBidi" w:hAnsiTheme="majorBidi" w:cstheme="majorBidi"/>
          </w:rPr>
          <w:id w:val="-1311473490"/>
          <w:docPartObj>
            <w:docPartGallery w:val="Page Numbers (Bottom of Page)"/>
            <w:docPartUnique/>
          </w:docPartObj>
        </w:sdtPr>
        <w:sdtEndPr>
          <w:rPr>
            <w:rFonts w:asciiTheme="minorHAnsi" w:hAnsiTheme="minorHAnsi" w:cstheme="minorBidi"/>
          </w:rPr>
        </w:sdtEndPr>
        <w:sdtContent>
          <w:tbl>
            <w:tblPr>
              <w:tblW w:w="0" w:type="auto"/>
              <w:jc w:val="center"/>
              <w:tblInd w:w="108" w:type="dxa"/>
              <w:tblLook w:val="04A0" w:firstRow="1" w:lastRow="0" w:firstColumn="1" w:lastColumn="0" w:noHBand="0" w:noVBand="1"/>
            </w:tblPr>
            <w:tblGrid>
              <w:gridCol w:w="4111"/>
              <w:gridCol w:w="851"/>
              <w:gridCol w:w="4110"/>
            </w:tblGrid>
            <w:tr w:rsidR="00623B94" w:rsidRPr="00117D2E" w:rsidTr="00287928">
              <w:trPr>
                <w:jc w:val="center"/>
              </w:trPr>
              <w:tc>
                <w:tcPr>
                  <w:tcW w:w="4111" w:type="dxa"/>
                </w:tcPr>
                <w:p w:rsidR="00623B94" w:rsidRPr="00455EE9" w:rsidRDefault="00623B94" w:rsidP="000D0615">
                  <w:pPr>
                    <w:pStyle w:val="Footer"/>
                    <w:rPr>
                      <w:rFonts w:ascii="Palatino Linotype" w:hAnsi="Palatino Linotype"/>
                      <w:sz w:val="20"/>
                    </w:rPr>
                  </w:pPr>
                  <w:proofErr w:type="spellStart"/>
                  <w:r w:rsidRPr="000D0615">
                    <w:rPr>
                      <w:rFonts w:ascii="Palatino Linotype" w:hAnsi="Palatino Linotype"/>
                      <w:i/>
                      <w:iCs/>
                      <w:sz w:val="20"/>
                      <w:szCs w:val="20"/>
                      <w:lang w:val="en-US"/>
                    </w:rPr>
                    <w:t>Penulis</w:t>
                  </w:r>
                  <w:proofErr w:type="spellEnd"/>
                  <w:r w:rsidRPr="000D0615">
                    <w:rPr>
                      <w:rFonts w:ascii="Palatino Linotype" w:hAnsi="Palatino Linotype"/>
                      <w:i/>
                      <w:iCs/>
                      <w:sz w:val="20"/>
                      <w:szCs w:val="20"/>
                      <w:lang w:val="en-US"/>
                    </w:rPr>
                    <w:t xml:space="preserve"> (Palatino Linotype 10pt)</w:t>
                  </w:r>
                </w:p>
              </w:tc>
              <w:tc>
                <w:tcPr>
                  <w:tcW w:w="851" w:type="dxa"/>
                </w:tcPr>
                <w:p w:rsidR="00623B94" w:rsidRPr="00117D2E" w:rsidRDefault="00623B94"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8C6108" w:rsidRPr="008C6108">
                    <w:rPr>
                      <w:rFonts w:ascii="Palatino Linotype" w:hAnsi="Palatino Linotype"/>
                      <w:noProof/>
                    </w:rPr>
                    <w:t>1</w:t>
                  </w:r>
                  <w:r w:rsidRPr="00117D2E">
                    <w:rPr>
                      <w:rFonts w:ascii="Palatino Linotype" w:hAnsi="Palatino Linotype"/>
                      <w:sz w:val="20"/>
                    </w:rPr>
                    <w:fldChar w:fldCharType="end"/>
                  </w:r>
                </w:p>
              </w:tc>
              <w:tc>
                <w:tcPr>
                  <w:tcW w:w="4110" w:type="dxa"/>
                </w:tcPr>
                <w:p w:rsidR="00623B94" w:rsidRPr="00962FDB" w:rsidRDefault="00623B94" w:rsidP="000D0615">
                  <w:pPr>
                    <w:pStyle w:val="Footer"/>
                    <w:jc w:val="right"/>
                    <w:rPr>
                      <w:rFonts w:ascii="Palatino Linotype" w:hAnsi="Palatino Linotype"/>
                      <w:i/>
                      <w:iCs/>
                      <w:sz w:val="20"/>
                    </w:rPr>
                  </w:pPr>
                  <w:proofErr w:type="spellStart"/>
                  <w:r w:rsidRPr="000D0615">
                    <w:rPr>
                      <w:rFonts w:ascii="Palatino Linotype" w:hAnsi="Palatino Linotype"/>
                      <w:i/>
                      <w:iCs/>
                      <w:sz w:val="20"/>
                      <w:szCs w:val="20"/>
                      <w:lang w:val="en-US"/>
                    </w:rPr>
                    <w:t>Penggalan</w:t>
                  </w:r>
                  <w:proofErr w:type="spellEnd"/>
                  <w:r w:rsidRPr="000D0615">
                    <w:rPr>
                      <w:rFonts w:ascii="Palatino Linotype" w:hAnsi="Palatino Linotype"/>
                      <w:i/>
                      <w:iCs/>
                      <w:sz w:val="20"/>
                      <w:szCs w:val="20"/>
                      <w:lang w:val="en-US"/>
                    </w:rPr>
                    <w:t xml:space="preserve"> </w:t>
                  </w:r>
                  <w:proofErr w:type="spellStart"/>
                  <w:r w:rsidRPr="000D0615">
                    <w:rPr>
                      <w:rFonts w:ascii="Palatino Linotype" w:hAnsi="Palatino Linotype"/>
                      <w:i/>
                      <w:iCs/>
                      <w:sz w:val="20"/>
                      <w:szCs w:val="20"/>
                      <w:lang w:val="en-US"/>
                    </w:rPr>
                    <w:t>Judul</w:t>
                  </w:r>
                  <w:proofErr w:type="spellEnd"/>
                  <w:proofErr w:type="gramStart"/>
                  <w:r w:rsidRPr="000D0615">
                    <w:rPr>
                      <w:rFonts w:ascii="Palatino Linotype" w:hAnsi="Palatino Linotype"/>
                      <w:i/>
                      <w:iCs/>
                      <w:sz w:val="20"/>
                      <w:szCs w:val="20"/>
                      <w:lang w:val="en-US"/>
                    </w:rPr>
                    <w:t>..</w:t>
                  </w:r>
                  <w:proofErr w:type="gramEnd"/>
                  <w:r w:rsidRPr="000D0615">
                    <w:rPr>
                      <w:rFonts w:ascii="Palatino Linotype" w:hAnsi="Palatino Linotype"/>
                      <w:i/>
                      <w:iCs/>
                      <w:sz w:val="20"/>
                      <w:szCs w:val="20"/>
                      <w:lang w:val="en-US"/>
                    </w:rPr>
                    <w:t xml:space="preserve"> (Palatino Linotype 10pt)</w:t>
                  </w:r>
                </w:p>
              </w:tc>
            </w:tr>
          </w:tbl>
          <w:p w:rsidR="00623B94" w:rsidRPr="00AB41FF" w:rsidRDefault="00623B94"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94" w:rsidRDefault="00623B94" w:rsidP="00AB41FF">
    <w:pPr>
      <w:spacing w:after="0" w:line="240" w:lineRule="auto"/>
      <w:rPr>
        <w:rFonts w:asciiTheme="majorBidi" w:hAnsiTheme="majorBidi" w:cstheme="majorBidi"/>
      </w:rPr>
    </w:pPr>
    <w:r>
      <w:ptab w:relativeTo="margin" w:alignment="center" w:leader="none"/>
    </w:r>
    <w:r w:rsidRPr="00AB41FF">
      <w:rPr>
        <w:rFonts w:asciiTheme="majorBidi" w:hAnsiTheme="majorBidi" w:cstheme="majorBidi"/>
      </w:rPr>
      <w:t xml:space="preserve"> </w:t>
    </w:r>
  </w:p>
  <w:sdt>
    <w:sdtPr>
      <w:rPr>
        <w:rFonts w:asciiTheme="majorBidi" w:hAnsiTheme="majorBidi" w:cstheme="majorBidi"/>
      </w:rPr>
      <w:id w:val="-1894029288"/>
      <w:docPartObj>
        <w:docPartGallery w:val="Page Numbers (Bottom of Page)"/>
        <w:docPartUnique/>
      </w:docPartObj>
    </w:sdtPr>
    <w:sdtEndPr>
      <w:rPr>
        <w:noProof/>
      </w:rPr>
    </w:sdtEndPr>
    <w:sdtContent>
      <w:sdt>
        <w:sdtPr>
          <w:rPr>
            <w:rFonts w:asciiTheme="majorBidi" w:hAnsiTheme="majorBidi" w:cstheme="majorBidi"/>
          </w:rPr>
          <w:id w:val="554982559"/>
          <w:docPartObj>
            <w:docPartGallery w:val="Page Numbers (Bottom of Page)"/>
            <w:docPartUnique/>
          </w:docPartObj>
        </w:sdtPr>
        <w:sdtEndPr>
          <w:rPr>
            <w:rFonts w:asciiTheme="minorHAnsi" w:hAnsiTheme="minorHAnsi" w:cstheme="minorBidi"/>
          </w:rPr>
        </w:sdtEndPr>
        <w:sdtContent>
          <w:tbl>
            <w:tblPr>
              <w:tblW w:w="0" w:type="auto"/>
              <w:tblInd w:w="108" w:type="dxa"/>
              <w:tblLook w:val="04A0" w:firstRow="1" w:lastRow="0" w:firstColumn="1" w:lastColumn="0" w:noHBand="0" w:noVBand="1"/>
            </w:tblPr>
            <w:tblGrid>
              <w:gridCol w:w="4111"/>
              <w:gridCol w:w="851"/>
              <w:gridCol w:w="4110"/>
            </w:tblGrid>
            <w:tr w:rsidR="00623B94" w:rsidRPr="00117D2E" w:rsidTr="00287928">
              <w:tc>
                <w:tcPr>
                  <w:tcW w:w="4111" w:type="dxa"/>
                </w:tcPr>
                <w:p w:rsidR="00623B94" w:rsidRPr="00AB46DE" w:rsidRDefault="00623B94" w:rsidP="00287928">
                  <w:pPr>
                    <w:pStyle w:val="Footer"/>
                    <w:rPr>
                      <w:rFonts w:ascii="Palatino Linotype" w:hAnsi="Palatino Linotype"/>
                      <w:sz w:val="20"/>
                      <w:lang w:val="en-US"/>
                    </w:rPr>
                  </w:pPr>
                  <w:proofErr w:type="spellStart"/>
                  <w:r w:rsidRPr="000D0615">
                    <w:rPr>
                      <w:rFonts w:ascii="Palatino Linotype" w:hAnsi="Palatino Linotype"/>
                      <w:i/>
                      <w:iCs/>
                      <w:sz w:val="20"/>
                      <w:szCs w:val="20"/>
                      <w:lang w:val="en-US"/>
                    </w:rPr>
                    <w:t>Penulis</w:t>
                  </w:r>
                  <w:proofErr w:type="spellEnd"/>
                  <w:r w:rsidRPr="000D0615">
                    <w:rPr>
                      <w:rFonts w:ascii="Palatino Linotype" w:hAnsi="Palatino Linotype"/>
                      <w:i/>
                      <w:iCs/>
                      <w:sz w:val="20"/>
                      <w:szCs w:val="20"/>
                      <w:lang w:val="en-US"/>
                    </w:rPr>
                    <w:t xml:space="preserve"> (Palatino Linotype 10pt)</w:t>
                  </w:r>
                </w:p>
              </w:tc>
              <w:tc>
                <w:tcPr>
                  <w:tcW w:w="851" w:type="dxa"/>
                </w:tcPr>
                <w:p w:rsidR="00623B94" w:rsidRPr="00117D2E" w:rsidRDefault="00623B94"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1B2F70" w:rsidRPr="001B2F70">
                    <w:rPr>
                      <w:rFonts w:ascii="Palatino Linotype" w:hAnsi="Palatino Linotype"/>
                      <w:noProof/>
                    </w:rPr>
                    <w:t>2</w:t>
                  </w:r>
                  <w:r w:rsidRPr="00117D2E">
                    <w:rPr>
                      <w:rFonts w:ascii="Palatino Linotype" w:hAnsi="Palatino Linotype"/>
                      <w:sz w:val="20"/>
                    </w:rPr>
                    <w:fldChar w:fldCharType="end"/>
                  </w:r>
                </w:p>
              </w:tc>
              <w:tc>
                <w:tcPr>
                  <w:tcW w:w="4110" w:type="dxa"/>
                </w:tcPr>
                <w:p w:rsidR="00623B94" w:rsidRPr="00AB46DE" w:rsidRDefault="00623B94" w:rsidP="00287928">
                  <w:pPr>
                    <w:pStyle w:val="Footer"/>
                    <w:jc w:val="right"/>
                    <w:rPr>
                      <w:rFonts w:ascii="Palatino Linotype" w:hAnsi="Palatino Linotype"/>
                      <w:i/>
                      <w:iCs/>
                      <w:sz w:val="20"/>
                      <w:lang w:val="en-US"/>
                    </w:rPr>
                  </w:pPr>
                  <w:r>
                    <w:rPr>
                      <w:rFonts w:ascii="Palatino Linotype" w:hAnsi="Palatino Linotype"/>
                      <w:i/>
                      <w:iCs/>
                      <w:sz w:val="20"/>
                      <w:szCs w:val="20"/>
                      <w:lang w:val="en-US"/>
                    </w:rPr>
                    <w:t xml:space="preserve"> </w:t>
                  </w:r>
                  <w:proofErr w:type="spellStart"/>
                  <w:r w:rsidRPr="000D0615">
                    <w:rPr>
                      <w:rFonts w:ascii="Palatino Linotype" w:hAnsi="Palatino Linotype"/>
                      <w:i/>
                      <w:iCs/>
                      <w:sz w:val="20"/>
                      <w:szCs w:val="20"/>
                      <w:lang w:val="en-US"/>
                    </w:rPr>
                    <w:t>Penggalan</w:t>
                  </w:r>
                  <w:proofErr w:type="spellEnd"/>
                  <w:r w:rsidRPr="000D0615">
                    <w:rPr>
                      <w:rFonts w:ascii="Palatino Linotype" w:hAnsi="Palatino Linotype"/>
                      <w:i/>
                      <w:iCs/>
                      <w:sz w:val="20"/>
                      <w:szCs w:val="20"/>
                      <w:lang w:val="en-US"/>
                    </w:rPr>
                    <w:t xml:space="preserve"> </w:t>
                  </w:r>
                  <w:proofErr w:type="spellStart"/>
                  <w:r w:rsidRPr="000D0615">
                    <w:rPr>
                      <w:rFonts w:ascii="Palatino Linotype" w:hAnsi="Palatino Linotype"/>
                      <w:i/>
                      <w:iCs/>
                      <w:sz w:val="20"/>
                      <w:szCs w:val="20"/>
                      <w:lang w:val="en-US"/>
                    </w:rPr>
                    <w:t>Judul</w:t>
                  </w:r>
                  <w:proofErr w:type="spellEnd"/>
                  <w:proofErr w:type="gramStart"/>
                  <w:r w:rsidRPr="000D0615">
                    <w:rPr>
                      <w:rFonts w:ascii="Palatino Linotype" w:hAnsi="Palatino Linotype"/>
                      <w:i/>
                      <w:iCs/>
                      <w:sz w:val="20"/>
                      <w:szCs w:val="20"/>
                      <w:lang w:val="en-US"/>
                    </w:rPr>
                    <w:t>..</w:t>
                  </w:r>
                  <w:proofErr w:type="gramEnd"/>
                  <w:r w:rsidRPr="000D0615">
                    <w:rPr>
                      <w:rFonts w:ascii="Palatino Linotype" w:hAnsi="Palatino Linotype"/>
                      <w:i/>
                      <w:iCs/>
                      <w:sz w:val="20"/>
                      <w:szCs w:val="20"/>
                      <w:lang w:val="en-US"/>
                    </w:rPr>
                    <w:t xml:space="preserve"> (Palatino Linotype 10pt)</w:t>
                  </w:r>
                </w:p>
              </w:tc>
            </w:tr>
          </w:tbl>
          <w:p w:rsidR="00623B94" w:rsidRPr="00AB41FF" w:rsidRDefault="00623B94"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C5" w:rsidRDefault="00706BC5" w:rsidP="00064095">
      <w:pPr>
        <w:spacing w:after="0" w:line="240" w:lineRule="auto"/>
      </w:pPr>
      <w:r>
        <w:separator/>
      </w:r>
    </w:p>
  </w:footnote>
  <w:footnote w:type="continuationSeparator" w:id="0">
    <w:p w:rsidR="00706BC5" w:rsidRDefault="00706BC5" w:rsidP="00064095">
      <w:pPr>
        <w:spacing w:after="0" w:line="240" w:lineRule="auto"/>
      </w:pPr>
      <w:r>
        <w:continuationSeparator/>
      </w:r>
    </w:p>
  </w:footnote>
  <w:footnote w:id="1">
    <w:p w:rsidR="008B6EED" w:rsidRDefault="008B6EED">
      <w:pPr>
        <w:pStyle w:val="FootnoteText"/>
      </w:pPr>
      <w:r>
        <w:rPr>
          <w:rStyle w:val="FootnoteReference"/>
        </w:rPr>
        <w:footnoteRef/>
      </w:r>
      <w:r>
        <w:t xml:space="preserve"> </w:t>
      </w:r>
      <w:r>
        <w:fldChar w:fldCharType="begin" w:fldLock="1"/>
      </w:r>
      <w:r w:rsidR="00485DB5">
        <w:instrText>ADDIN CSL_CITATION {"citationItems":[{"id":"ITEM-1","itemData":{"abstract":"Kedudukan fatwa di Republik Indonesia pada dasarnya adalah tidak mengikat dan tidak berdampak hukum (legal opinion). Akan tetapi, dalam kasus tertentu, fatwa memiliki posisi dalam perundang- undangan sehingga mempunyai kekuatan hukum yang mengikat (legal binding). Artikel ini akan mengekspolasi mengapa dan sejauh mana fatwa memiliki kekuatan hukum strategis dan menentukan kebijakan yang harus diikuti oleh semua stakaholder yang terlibat di dalamnya. Secara spesifik objek kajian dari artikel ini adalah Undang Undang Perbankan Syariah yang menyatakan bahwa seluruh aktifikas perekonomian Islam harus sesuai syariah yang ditetapkan oleh fatwa Dewan Syariah Nasional Majelis Ulama Indonesia. Penelitian ini menyimpulkan bahwa keberanjakan fatwa dari legal opinion menjad","author":[{"dropping-particle":"","family":"Muhammad","given":"Wildan Imaduddin","non-dropping-particle":"","parse-names":false,"suffix":""}],"container-title":"Jurisprudensi: Jurnal Ilmu Syariah, Perundang-Undangan dan Ekonomi Islam","id":"ITEM-1","issue":"2","issued":{"date-parts":[["2019"]]},"page":"146-163","title":"Keberanjakan Fatwa dari LEgal Opinion menjadi Legal Binding ( Studi Kasus Fatwa DSN MUI Tentang Perbankan Syariah )","type":"article-journal","volume":"11"},"uris":["http://www.mendeley.com/documents/?uuid=cbb7cce8-bdc8-4439-ac32-a2af6a6382ac"]}],"mendeley":{"formattedCitation":"Wildan Imaduddin Muhammad, ‘Keberanjakan Fatwa Dari LEgal Opinion Menjadi Legal Binding ( Studi Kasus Fatwa DSN MUI Tentang Perbankan Syariah )’, &lt;i&gt;Jurisprudensi: Jurnal Ilmu Syariah, Perundang-Undangan Dan Ekonomi Islam&lt;/i&gt;, 11.2 (2019), 146–63.","plainTextFormattedCitation":"Wildan Imaduddin Muhammad, ‘Keberanjakan Fatwa Dari LEgal Opinion Menjadi Legal Binding ( Studi Kasus Fatwa DSN MUI Tentang Perbankan Syariah )’, Jurisprudensi: Jurnal Ilmu Syariah, Perundang-Undangan Dan Ekonomi Islam, 11.2 (2019), 146–63.","previouslyFormattedCitation":"Wildan Imaduddin Muhammad, ‘Keberanjakan Fatwa Dari LEgal Opinion Menjadi Legal Binding ( Studi Kasus Fatwa DSN MUI Tentang Perbankan Syariah )’, &lt;i&gt;Jurisprudensi: Jurnal Ilmu Syariah, Perundang-Undangan Dan Ekonomi Islam&lt;/i&gt;, 11.2 (2019), 146–63."},"properties":{"noteIndex":1},"schema":"https://github.com/citation-style-language/schema/raw/master/csl-citation.json"}</w:instrText>
      </w:r>
      <w:r>
        <w:fldChar w:fldCharType="separate"/>
      </w:r>
      <w:r w:rsidRPr="008B6EED">
        <w:rPr>
          <w:noProof/>
        </w:rPr>
        <w:t xml:space="preserve">Wildan Imaduddin Muhammad, ‘Keberanjakan Fatwa Dari LEgal Opinion Menjadi Legal Binding ( Studi Kasus Fatwa DSN MUI Tentang Perbankan Syariah )’, </w:t>
      </w:r>
      <w:r w:rsidRPr="008B6EED">
        <w:rPr>
          <w:i/>
          <w:noProof/>
        </w:rPr>
        <w:t>Jurisprudensi: Jurnal Ilmu Syariah, Perundang-Undangan Dan Ekonomi Islam</w:t>
      </w:r>
      <w:r w:rsidRPr="008B6EED">
        <w:rPr>
          <w:noProof/>
        </w:rPr>
        <w:t>, 11.2 (2019), 146–63.</w:t>
      </w:r>
      <w:r>
        <w:fldChar w:fldCharType="end"/>
      </w:r>
    </w:p>
  </w:footnote>
  <w:footnote w:id="2">
    <w:p w:rsidR="00623B94" w:rsidRDefault="00623B94">
      <w:pPr>
        <w:pStyle w:val="FootnoteText"/>
      </w:pPr>
      <w:r>
        <w:rPr>
          <w:rStyle w:val="FootnoteReference"/>
        </w:rPr>
        <w:footnoteRef/>
      </w:r>
      <w:r>
        <w:t xml:space="preserve"> </w:t>
      </w:r>
      <w:r>
        <w:fldChar w:fldCharType="begin" w:fldLock="1"/>
      </w:r>
      <w:r w:rsidR="008B6EED">
        <w:instrText>ADDIN CSL_CITATION {"citationItems":[{"id":"ITEM-1","itemData":{"DOI":"10.18592/sy.v16i2.1022","ISSN":"1412-6303","abstract":"Penelitian ini berawal dari lahirnya Undang-Undang No. 21 Tahun 2008 tentang Perbankan Syariah. Pada UU tersebut, Pasal 26 ayat 1 memuat keharusan bahwa kegiatan usaha dan/atau produk dan jasa syariah, wajib tunduk kepada Prinsip Syariah. Selanjutnya, pada ayat 2 dan 3 menerangkan bahwa Prinsip Syariah sebagaimana dimaksud pada ayat (1) difatwakan oleh Majelis Ulama Indonesia, dan Fatwa sebagaimana dimaksud pada ayat (2) dituangkan dalam Peraturan Bank Indonesia (PBI). Fatwa-fatwa tersebut kemudian oleh MUI dikeluarkan oleh Dewan Syariah Nasional (DSN). Sesuai dengan amanat UU tentang Perbankan Syariah, dalam rangka menyusun PBI tersebut, maka BI membuat sebuah Komite Perbankan Syariah (KPS). Dari ketentuan tersebut menimbulkan pertanyaan ketika Fatwa DSN akan dituangkan menjadi PBI harus melalui penafsiran KPS (PBI No. 10/32/PBI/2008 tentang Komite Perbankan Syariah). Bagaimana sebenarnya posisi Fatwa DSN dalam hukum positif dan bagaimana mentransformasikan fatwa DSN agar menjadi hukum positif. Tujuan penelitian ini untuk menjawab berbagai pertanyaan yang timbul dari ketentuan tersebut, yakni posisi Fatwa DSN dalam hukum positif dan proses transformasi fatwa DSN hingga menjadi sebuah produk hukum positif berupa PBI.            Jenis penelitian yang dilakukan adalah penelitian hukum normatif. Penelitian ini menghimpun bahan yang berhubungan dengan transformasi Fatwa DSN dan Hukum Positif dalam hal ini Undang-undang yang berlaku di Indonesia. Selain itu, penelitian hukum normatif ini menggunakan pendekatan kualitatif, yakni melalui pendekatan undang-undang, konsep, dan historisKesimpulan dari penelitian ini antara lain: pertama, Fatwa MUI (DSN-MUI) jika dilihat dalam kerangka hukum nasional maka fatwa tersebut tidak mempunyai kekuatan hukum mengikat. Akan tetapi fatwa memiliki kekuatan hukum yang mengikat apabila fatwa tersebut diperkuat dengan instrumen-instrumen negara yang mempunyai alat legitimasi, seperti Undang-undang, Peraturan Pemerintah (PP), PBI, atau sejenisnya. Kedua, Bank Indonesia tidak bisa memberikan sanksi bagi bank syariah atau unit usaha syariah yang tidak mengikuti fatwa. Oleh sebab itu solusi yang ditempuh agar fatwa menjadi mengikat adalah melalui transformasi fatwa DSN ke dalam PBI. Dimana dalam proses transformasi tersebut dipengaruhi oleh KPS sebagai pemberi rekomendasi terhadap fatwa DSN.Kata Kunci: Transformasi, Fatwa Dewan Syariah Nasional, Hukum Positif ","author":[{"dropping-particle":"","family":"Hasanah","given":"Tuti","non-dropping-particle":"","parse-names":false,"suffix":""}],"container-title":"Syariah Jurnal Hukum dan Pemikiran","id":"ITEM-1","issued":{"date-parts":[["2017"]]},"title":"TRANSFORMASI FATWA DEWAN SYARIAH NASIONAL KE DALAM HUKUM POSITIF","type":"article-journal"},"uris":["http://www.mendeley.com/documents/?uuid=eda6b187-5ef0-49f5-a590-869bca49e79c"]}],"mendeley":{"formattedCitation":"Tuti Hasanah, ‘TRANSFORMASI FATWA DEWAN SYARIAH NASIONAL KE DALAM HUKUM POSITIF’, &lt;i&gt;Syariah Jurnal Hukum Dan Pemikiran&lt;/i&gt;, 2017 &lt;https://doi.org/10.18592/sy.v16i2.1022&gt;.","plainTextFormattedCitation":"Tuti Hasanah, ‘TRANSFORMASI FATWA DEWAN SYARIAH NASIONAL KE DALAM HUKUM POSITIF’, Syariah Jurnal Hukum Dan Pemikiran, 2017 .","previouslyFormattedCitation":"Tuti Hasanah, ‘TRANSFORMASI FATWA DEWAN SYARIAH NASIONAL KE DALAM HUKUM POSITIF’, &lt;i&gt;Syariah Jurnal Hukum Dan Pemikiran&lt;/i&gt;, 2017 &lt;https://doi.org/10.18592/sy.v16i2.1022&gt;."},"properties":{"noteIndex":2},"schema":"https://github.com/citation-style-language/schema/raw/master/csl-citation.json"}</w:instrText>
      </w:r>
      <w:r>
        <w:fldChar w:fldCharType="separate"/>
      </w:r>
      <w:r w:rsidR="00485DB5" w:rsidRPr="00485DB5">
        <w:rPr>
          <w:noProof/>
        </w:rPr>
        <w:t xml:space="preserve">Tuti Hasanah, ‘TRANSFORMASI FATWA DEWAN SYARIAH NASIONAL KE DALAM HUKUM POSITIF’, </w:t>
      </w:r>
      <w:r w:rsidR="00485DB5" w:rsidRPr="00485DB5">
        <w:rPr>
          <w:i/>
          <w:noProof/>
        </w:rPr>
        <w:t>Syariah Jurnal Hukum Dan Pemikiran</w:t>
      </w:r>
      <w:r w:rsidR="00485DB5" w:rsidRPr="00485DB5">
        <w:rPr>
          <w:noProof/>
        </w:rPr>
        <w:t>, 2017 &lt;https://doi.org/10.18592/sy.v16i2.1022&gt;.</w:t>
      </w:r>
      <w:r>
        <w:fldChar w:fldCharType="end"/>
      </w:r>
    </w:p>
  </w:footnote>
  <w:footnote w:id="3">
    <w:p w:rsidR="00623B94" w:rsidRDefault="00623B94">
      <w:pPr>
        <w:pStyle w:val="FootnoteText"/>
      </w:pPr>
      <w:r>
        <w:rPr>
          <w:rStyle w:val="FootnoteReference"/>
        </w:rPr>
        <w:footnoteRef/>
      </w:r>
      <w:r>
        <w:t xml:space="preserve"> </w:t>
      </w:r>
      <w:r>
        <w:fldChar w:fldCharType="begin" w:fldLock="1"/>
      </w:r>
      <w:r w:rsidR="008B6EED">
        <w:instrText>ADDIN CSL_CITATION {"citationItems":[{"id":"ITEM-1","itemData":{"DOI":"10.19105/al-ihkam.v11i2.785","ISSN":"1907-591X","abstract":"The Indonesian Ulama Council (MUI) as a religious organization which is established by the state should be as guardiance for indonesian plurality. One plurality is various Muslims. This article explains that many MUI fatwas produced exclusively. Those fatwas can bring out a radicalism behavior. Those fatwas such the fatwa on Syi’ah, Ahmadiyah and pluralism-liberalism-secularism. This article shows a lot of data about radicalism with the justification of those fatwas. According to the authors, the MUI fatwas lead to exclusivism. As the reason, the using of baya&gt;ni&gt; epistemology which is evidenced by the revelation understanding textually, then exploration of subordinated sense; the using of deductive logic and kalam argument and mas}lah}at theocentric reason. As the result, the authors suggests to construct MUI be structuralized and have inclusive paradigm and tafs}i&gt;li&gt; formulation of fatwas. It means fatwas give many legal alternatives as well as the tradition of previous scholars","author":[{"dropping-particle":"","family":"Iswahyudi","given":".","non-dropping-particle":"","parse-names":false,"suffix":""}],"container-title":"Al-Ihkam: Jurnal Hukum &amp; Pranata Sosial","id":"ITEM-1","issued":{"date-parts":[["2017"]]},"title":"MUI dan Nalar Fatwa-fatwa Eksklusif","type":"article-journal"},"uris":["http://www.mendeley.com/documents/?uuid=34974d39-b040-4ef0-a61e-174b1db5cb12"]}],"mendeley":{"formattedCitation":". Iswahyudi, ‘MUI Dan Nalar Fatwa-Fatwa Eksklusif’, &lt;i&gt;Al-Ihkam: Jurnal Hukum &amp; Pranata Sosial&lt;/i&gt;, 2017 &lt;https://doi.org/10.19105/al-ihkam.v11i2.785&gt;.","plainTextFormattedCitation":". Iswahyudi, ‘MUI Dan Nalar Fatwa-Fatwa Eksklusif’, Al-Ihkam: Jurnal Hukum &amp; Pranata Sosial, 2017 .","previouslyFormattedCitation":". Iswahyudi, ‘MUI Dan Nalar Fatwa-Fatwa Eksklusif’, &lt;i&gt;Al-Ihkam: Jurnal Hukum &amp; Pranata Sosial&lt;/i&gt;, 2017 &lt;https://doi.org/10.19105/al-ihkam.v11i2.785&gt;."},"properties":{"noteIndex":3},"schema":"https://github.com/citation-style-language/schema/raw/master/csl-citation.json"}</w:instrText>
      </w:r>
      <w:r>
        <w:fldChar w:fldCharType="separate"/>
      </w:r>
      <w:r w:rsidR="00485DB5" w:rsidRPr="00485DB5">
        <w:rPr>
          <w:noProof/>
        </w:rPr>
        <w:t xml:space="preserve">. Iswahyudi, ‘MUI Dan Nalar Fatwa-Fatwa Eksklusif’, </w:t>
      </w:r>
      <w:r w:rsidR="00485DB5" w:rsidRPr="00485DB5">
        <w:rPr>
          <w:i/>
          <w:noProof/>
        </w:rPr>
        <w:t>Al-Ihkam: Jurnal Hukum &amp; Pranata Sosial</w:t>
      </w:r>
      <w:r w:rsidR="00485DB5" w:rsidRPr="00485DB5">
        <w:rPr>
          <w:noProof/>
        </w:rPr>
        <w:t>, 2017 &lt;https://doi.org/10.19105/al-ihkam.v11i2.785&gt;.</w:t>
      </w:r>
      <w:r>
        <w:fldChar w:fldCharType="end"/>
      </w:r>
    </w:p>
  </w:footnote>
  <w:footnote w:id="4">
    <w:p w:rsidR="00623B94" w:rsidRDefault="00623B94">
      <w:pPr>
        <w:pStyle w:val="FootnoteText"/>
      </w:pPr>
      <w:r>
        <w:rPr>
          <w:rStyle w:val="FootnoteReference"/>
        </w:rPr>
        <w:footnoteRef/>
      </w:r>
      <w:r>
        <w:t xml:space="preserve"> </w:t>
      </w:r>
      <w:r>
        <w:fldChar w:fldCharType="begin" w:fldLock="1"/>
      </w:r>
      <w:r w:rsidR="008B6EED">
        <w:instrText>ADDIN CSL_CITATION {"citationItems":[{"id":"ITEM-1","itemData":{"ISSN":"2442-5265","abstract":"ABSTRAK Indonesia yang merdeka bukanlah Negara yang berdasarkan atas agama (teokrasi), bukan pula Negara kekuasaan (machtsstaat). Akan tetapi Indonesia dalah Negara hokum berdasar pada hasil perubahan UUD 1945 ditegaskan dalam Pasal 1 Ayat (3) Amandemen ke-3 UUD 1945 menegaskan bahwa Indonesia adalah Negara hokum. Pada spek lain, Indonesia dinyatakan sebagai sebuah religious nation state (Negara kebagsaan yang religius) yang menghormati dan membina semua agama yang dianut oleh rakyatnya sepanjang berkemanusiaan dan berkeadaban. Keberadaab Indonesia sebagai Negara hokum, mendapat ujian degan dikeluarkan beberapa Fatwa oleh Komisi Fatwa Hukum MUI (KFHMUI) yang dianggap meresahkan. Seperti, fatwa haramnya pluralism, liberalism, dan secularism. Atas fakta ini, maka MUI mendapat respon yang positif dan negative. Pertama adalah kelompok yang menolak keberadaan MUI dan Komisi Fatwanya. MUI ujar Gus Dur keberadaannya bertentangan dengan UUD dan difungsikan oleh Departemen Agama untuk melanggar UUD. MUI lupa bahwa kita hidup di Republik Indonesia. Mereka lupa bahwa yang dilakukan MUI itu ada dua yaitu Islam dan Naisonalis. Bukan hanya mempertahankan ajaran Islam saja. Yang dia lupa juga adalah \" Islam di Indonesia \" Kelompok yang kedua adalah kelompok yang beragumentasi jikan fatwa MUI bertentangan dengan UUD atau konstitusi Indonesia semisal fatwa mengharamkan paham pluralisme agama, sekularisme, dan liberalism yang diduga menyimpang dari ajaran aqidah islam tersebut, dihimbau untuk diserahkan proses hukumnya kepada pemerintah untuk mengambil tindakan hokum atas kasus tersebut. Ajakan ini datang dari Hasyim Muzadi selaku ketua Pengurus Besar Nahdatul Ulama (PBNU) dan Ketua Pengurus Pusat (PP) Muhammadiyah, Din Syamsuddin.","container-title":"El-QUDWAH","id":"ITEM-1","issued":{"date-parts":[["2011"]]},"title":"KEDUDUKAN MAJELIS ULAMA INDONESIA (MUI) DAN KOMISI FATWANYA DALAM SISTEM HUKUM TATA NEGARA","type":"article-journal"},"uris":["http://www.mendeley.com/documents/?uuid=2034a197-db9e-4bdd-ba8f-ef7f0c159c2f"]}],"mendeley":{"formattedCitation":"‘KEDUDUKAN MAJELIS ULAMA INDONESIA (MUI) DAN KOMISI FATWANYA DALAM SISTEM HUKUM TATA NEGARA’, &lt;i&gt;El-QUDWAH&lt;/i&gt;, 2011.","plainTextFormattedCitation":"‘KEDUDUKAN MAJELIS ULAMA INDONESIA (MUI) DAN KOMISI FATWANYA DALAM SISTEM HUKUM TATA NEGARA’, El-QUDWAH, 2011.","previouslyFormattedCitation":"‘KEDUDUKAN MAJELIS ULAMA INDONESIA (MUI) DAN KOMISI FATWANYA DALAM SISTEM HUKUM TATA NEGARA’, &lt;i&gt;El-QUDWAH&lt;/i&gt;, 2011."},"properties":{"noteIndex":4},"schema":"https://github.com/citation-style-language/schema/raw/master/csl-citation.json"}</w:instrText>
      </w:r>
      <w:r>
        <w:fldChar w:fldCharType="separate"/>
      </w:r>
      <w:r w:rsidR="000E68D9" w:rsidRPr="000E68D9">
        <w:rPr>
          <w:noProof/>
        </w:rPr>
        <w:t xml:space="preserve">‘KEDUDUKAN MAJELIS ULAMA INDONESIA (MUI) DAN KOMISI FATWANYA DALAM SISTEM HUKUM TATA NEGARA’, </w:t>
      </w:r>
      <w:r w:rsidR="000E68D9" w:rsidRPr="000E68D9">
        <w:rPr>
          <w:i/>
          <w:noProof/>
        </w:rPr>
        <w:t>El-QUDWAH</w:t>
      </w:r>
      <w:r w:rsidR="000E68D9" w:rsidRPr="000E68D9">
        <w:rPr>
          <w:noProof/>
        </w:rPr>
        <w:t>, 2011.</w:t>
      </w:r>
      <w:r>
        <w:fldChar w:fldCharType="end"/>
      </w:r>
    </w:p>
  </w:footnote>
  <w:footnote w:id="5">
    <w:p w:rsidR="00623B94" w:rsidRDefault="00623B94">
      <w:pPr>
        <w:pStyle w:val="FootnoteText"/>
      </w:pPr>
      <w:r>
        <w:rPr>
          <w:rStyle w:val="FootnoteReference"/>
        </w:rPr>
        <w:footnoteRef/>
      </w:r>
      <w:r>
        <w:t xml:space="preserve"> </w:t>
      </w:r>
      <w:r>
        <w:fldChar w:fldCharType="begin" w:fldLock="1"/>
      </w:r>
      <w:r w:rsidR="008B6EED">
        <w:instrText>ADDIN CSL_CITATION {"citationItems":[{"id":"ITEM-1","itemData":{"abstract":"The recent phenomena showed many organization and law institution with syari’ah based did its activities according to law in a fatwa product from Islamic Scholar Association of Indonesia, then the fatwa product also caused controversy among society, in this case, our country was a law country who has arranged and legal regulation base. The research purposes: to find out how is the fatwa concept in Islamic law according to the Islamic Scholar’s perspective? And also to find out how the fatwa position in Islamic Law and Positive Law in Indonesia? The research used normative legal research with normative juridical approach, which seen law as developed norms and existed in society. Law material used was primary law material, that was law source with direct relation with the research did; secondary law, that was supporting primary law and tertiary law which gave direction and explanation about primary and secondary law source. Law source collection technique used literatures. Then law source analysis used was comparative analysis, which compared the fatwa existence in Islamic Law and Positive law. The exact result showed that fatwa was not a tight law product, so it has no position in Islamic Law and positive law, so it never be a law base, since fatwa only unbinding advice (legal opinion).","author":[{"dropping-particle":"","family":"Riadi","given":"M Erfan","non-dropping-particle":"","parse-names":false,"suffix":""}],"container-title":"ULUMUDDIN","id":"ITEM-1","issued":{"date-parts":[["2010"]]},"title":"Kedudukan Fatwa Ditinjau Dari Hukum Islam Dan Hukum Positif (Analisis Yuridis Normatif)","type":"article-journal"},"uris":["http://www.mendeley.com/documents/?uuid=c5172cc6-e792-4d66-9f30-5b0498231d0e"]}],"mendeley":{"formattedCitation":"M Erfan Riadi, ‘Kedudukan Fatwa Ditinjau Dari Hukum Islam Dan Hukum Positif (Analisis Yuridis Normatif)’, &lt;i&gt;ULUMUDDIN&lt;/i&gt;, 2010.","plainTextFormattedCitation":"M Erfan Riadi, ‘Kedudukan Fatwa Ditinjau Dari Hukum Islam Dan Hukum Positif (Analisis Yuridis Normatif)’, ULUMUDDIN, 2010.","previouslyFormattedCitation":"M Erfan Riadi, ‘Kedudukan Fatwa Ditinjau Dari Hukum Islam Dan Hukum Positif (Analisis Yuridis Normatif)’, &lt;i&gt;ULUMUDDIN&lt;/i&gt;, 2010."},"properties":{"noteIndex":5},"schema":"https://github.com/citation-style-language/schema/raw/master/csl-citation.json"}</w:instrText>
      </w:r>
      <w:r>
        <w:fldChar w:fldCharType="separate"/>
      </w:r>
      <w:r w:rsidRPr="00623B94">
        <w:rPr>
          <w:noProof/>
        </w:rPr>
        <w:t xml:space="preserve">M Erfan Riadi, ‘Kedudukan Fatwa Ditinjau Dari Hukum Islam Dan Hukum Positif (Analisis Yuridis Normatif)’, </w:t>
      </w:r>
      <w:r w:rsidRPr="00623B94">
        <w:rPr>
          <w:i/>
          <w:noProof/>
        </w:rPr>
        <w:t>ULUMUDDIN</w:t>
      </w:r>
      <w:r w:rsidRPr="00623B94">
        <w:rPr>
          <w:noProof/>
        </w:rPr>
        <w:t>, 2010.</w:t>
      </w:r>
      <w:r>
        <w:fldChar w:fldCharType="end"/>
      </w:r>
    </w:p>
  </w:footnote>
  <w:footnote w:id="6">
    <w:p w:rsidR="00C467DB" w:rsidRDefault="00C467DB">
      <w:pPr>
        <w:pStyle w:val="FootnoteText"/>
      </w:pPr>
      <w:r>
        <w:rPr>
          <w:rStyle w:val="FootnoteReference"/>
        </w:rPr>
        <w:footnoteRef/>
      </w:r>
      <w:r>
        <w:t xml:space="preserve"> </w:t>
      </w:r>
      <w:r>
        <w:fldChar w:fldCharType="begin" w:fldLock="1"/>
      </w:r>
      <w:r w:rsidR="008B6EED">
        <w:instrText>ADDIN CSL_CITATION {"citationItems":[{"id":"ITEM-1","itemData":{"DOI":"10.18326/ijtihad.v13i1.15-31","ISSN":"1411-9544","abstract":"Not only Islamic financial institutions rate impressively, but also Islamic banking. Statistics released by Bank Indonesia prove the premise. At the same time, supporting the legality of Islamic banking operations became more solid. Although at the beginning of its establishment faced legal problems, but since the enactment the Islamic Banking No. 21 of 2008 has been issued, the problem is resolved. Authority that important in the dynamics of Islamic banking regulation is the National Sharia BoardCouncil of Ulama Indonesia (DSN-MUI). The council became the source of authoritative institutions in guarding the observance of the Islamic banking industry to comply with the rules of sharia. All Islamic banking products must be controlled under sharia compliance by the DSN-MUI. Then, the fatwa is absorbed by Bank Indonesia and Bank Indonesia Regulation (Peraturan Bank Indonesia) is set to be. In this context, the national banking regulator has a significant association with DSN-MUI fatwa.","author":[{"dropping-particle":"","family":"Al-Hakim","given":"Sofyan","non-dropping-particle":"","parse-names":false,"suffix":""}],"container-title":"Ijtihad : Jurnal Wacana Hukum Islam dan Kemanusiaan","id":"ITEM-1","issued":{"date-parts":[["2013"]]},"title":"Perkembangan regulasi perbankan syariah di Indonesia","type":"article-journal"},"uris":["http://www.mendeley.com/documents/?uuid=babc568d-a6b6-4d87-a3da-24ef6da1038d"]}],"mendeley":{"formattedCitation":"Sofyan Al-Hakim, ‘Perkembangan Regulasi Perbankan Syariah Di Indonesia’, &lt;i&gt;Ijtihad : Jurnal Wacana Hukum Islam Dan Kemanusiaan&lt;/i&gt;, 2013 &lt;https://doi.org/10.18326/ijtihad.v13i1.15-31&gt;.","plainTextFormattedCitation":"Sofyan Al-Hakim, ‘Perkembangan Regulasi Perbankan Syariah Di Indonesia’, Ijtihad : Jurnal Wacana Hukum Islam Dan Kemanusiaan, 2013 .","previouslyFormattedCitation":"Sofyan Al-Hakim, ‘Perkembangan Regulasi Perbankan Syariah Di Indonesia’, &lt;i&gt;Ijtihad : Jurnal Wacana Hukum Islam Dan Kemanusiaan&lt;/i&gt;, 2013 &lt;https://doi.org/10.18326/ijtihad.v13i1.15-31&gt;."},"properties":{"noteIndex":6},"schema":"https://github.com/citation-style-language/schema/raw/master/csl-citation.json"}</w:instrText>
      </w:r>
      <w:r>
        <w:fldChar w:fldCharType="separate"/>
      </w:r>
      <w:r w:rsidR="00485DB5" w:rsidRPr="00485DB5">
        <w:rPr>
          <w:noProof/>
        </w:rPr>
        <w:t xml:space="preserve">Sofyan Al-Hakim, ‘Perkembangan Regulasi Perbankan Syariah Di Indonesia’, </w:t>
      </w:r>
      <w:r w:rsidR="00485DB5" w:rsidRPr="00485DB5">
        <w:rPr>
          <w:i/>
          <w:noProof/>
        </w:rPr>
        <w:t>Ijtihad : Jurnal Wacana Hukum Islam Dan Kemanusiaan</w:t>
      </w:r>
      <w:r w:rsidR="00485DB5" w:rsidRPr="00485DB5">
        <w:rPr>
          <w:noProof/>
        </w:rPr>
        <w:t>, 2013 &lt;https://doi.org/10.18326/ijtihad.v13i1.15-31&gt;.</w:t>
      </w:r>
      <w:r>
        <w:fldChar w:fldCharType="end"/>
      </w:r>
    </w:p>
  </w:footnote>
  <w:footnote w:id="7">
    <w:p w:rsidR="00C467DB" w:rsidRDefault="00C467DB">
      <w:pPr>
        <w:pStyle w:val="FootnoteText"/>
      </w:pPr>
      <w:r>
        <w:rPr>
          <w:rStyle w:val="FootnoteReference"/>
        </w:rPr>
        <w:footnoteRef/>
      </w:r>
      <w:r>
        <w:t xml:space="preserve"> </w:t>
      </w:r>
      <w:r>
        <w:fldChar w:fldCharType="begin" w:fldLock="1"/>
      </w:r>
      <w:r w:rsidR="008B6EED">
        <w:instrText>ADDIN CSL_CITATION {"citationItems":[{"id":"ITEM-1","itemData":{"abstract":"Tujuan penelitian ini adalah untuk mengetahui pengawasan bank syariah yang dilakukan oleh Dewan Syariah Nasional (DSN) dan Dewan Pengawas Syariah (DPS), serta mencoba menganalisa efektifitas tugas DSN dan DPS dalam mengawasi lembaga keuangan syari’ah yang ada di Indonesia Penelitian ini adalah penelitian kepustakaan, dimana pengumpulan data dilakukan dari berbagai sumber baik berupa buku-buku, majalah, surat kabar maupun dokumen-dokumen yang terkait dengan pengawasan bank syariah. Hasil penelitian ini menggambarkan bahwa pada dasarnya pengawasan bank syariah memiliki dua sistem, yaitu pengawasan dari aspek: (i) kondisi keuangan, kepatuhan pada ketentuan perbankan secara umum dan prinsip kehati-hatian bank, dan (ii) pemenuhan prinsip syariah dalam kegiatan operasional bank. Berkaitan dengan hal itu maka struktur pengawasan perbankan syariah lebih bersifat multilayer yang secara ideal akan terdiri dari sistem pengawasan internal yang dilaksanakan oleh DPS, yang lebih bersifat mengatur ke dalam dan dilakukan agar ada mekanisme dan sistem kontrol untuk kepentingan manajemen dan sistem pengawasan eksternal yang dilakukan oleh DSN yang pada dasarnya untuk memenuhi kepentingan nasabah dan kepentingan publik secara umum.","author":[{"dropping-particle":"","family":"Misbach","given":"Irwan","non-dropping-particle":"","parse-names":false,"suffix":""}],"container-title":"Fakultas Dakwah dan Komunikasi UIN Alauddin Makassar","id":"ITEM-1","issued":{"date-parts":[["2014"]]},"title":"Kedudukan dan Fungsi Dewan Pengawas Syariah dalam Mengawasi Transaksi Lembaga Keuangan Syariah di Indonesia","type":"article-journal"},"uris":["http://www.mendeley.com/documents/?uuid=6f3f59b5-092b-40d1-9b9c-1808fdc855f0"]}],"mendeley":{"formattedCitation":"Irwan Misbach, ‘Kedudukan Dan Fungsi Dewan Pengawas Syariah Dalam Mengawasi Transaksi Lembaga Keuangan Syariah Di Indonesia’, &lt;i&gt;Fakultas Dakwah Dan Komunikasi UIN Alauddin Makassar&lt;/i&gt;, 2014.","plainTextFormattedCitation":"Irwan Misbach, ‘Kedudukan Dan Fungsi Dewan Pengawas Syariah Dalam Mengawasi Transaksi Lembaga Keuangan Syariah Di Indonesia’, Fakultas Dakwah Dan Komunikasi UIN Alauddin Makassar, 2014.","previouslyFormattedCitation":"Irwan Misbach, ‘Kedudukan Dan Fungsi Dewan Pengawas Syariah Dalam Mengawasi Transaksi Lembaga Keuangan Syariah Di Indonesia’, &lt;i&gt;Fakultas Dakwah Dan Komunikasi UIN Alauddin Makassar&lt;/i&gt;, 2014."},"properties":{"noteIndex":7},"schema":"https://github.com/citation-style-language/schema/raw/master/csl-citation.json"}</w:instrText>
      </w:r>
      <w:r>
        <w:fldChar w:fldCharType="separate"/>
      </w:r>
      <w:r w:rsidRPr="00C467DB">
        <w:rPr>
          <w:noProof/>
        </w:rPr>
        <w:t xml:space="preserve">Irwan Misbach, ‘Kedudukan Dan Fungsi Dewan Pengawas Syariah Dalam Mengawasi Transaksi Lembaga Keuangan Syariah Di Indonesia’, </w:t>
      </w:r>
      <w:r w:rsidRPr="00C467DB">
        <w:rPr>
          <w:i/>
          <w:noProof/>
        </w:rPr>
        <w:t>Fakultas Dakwah Dan Komunikasi UIN Alauddin Makassar</w:t>
      </w:r>
      <w:r w:rsidRPr="00C467DB">
        <w:rPr>
          <w:noProof/>
        </w:rPr>
        <w:t>, 2014.</w:t>
      </w:r>
      <w:r>
        <w:fldChar w:fldCharType="end"/>
      </w:r>
    </w:p>
  </w:footnote>
  <w:footnote w:id="8">
    <w:p w:rsidR="00217DBD" w:rsidRPr="00BC6034" w:rsidRDefault="00217DBD" w:rsidP="00BC6034">
      <w:pPr>
        <w:pStyle w:val="FootnoteText"/>
        <w:ind w:firstLine="284"/>
        <w:rPr>
          <w:rFonts w:ascii="Times New Roman" w:hAnsi="Times New Roman" w:cs="Times New Roman"/>
          <w:sz w:val="18"/>
          <w:szCs w:val="18"/>
        </w:rPr>
      </w:pPr>
      <w:r w:rsidRPr="00BC6034">
        <w:rPr>
          <w:rStyle w:val="FootnoteReference"/>
          <w:rFonts w:ascii="Times New Roman" w:hAnsi="Times New Roman" w:cs="Times New Roman"/>
        </w:rPr>
        <w:footnoteRef/>
      </w:r>
      <w:r w:rsidRPr="00BC6034">
        <w:rPr>
          <w:rFonts w:ascii="Times New Roman" w:hAnsi="Times New Roman" w:cs="Times New Roman"/>
        </w:rPr>
        <w:t xml:space="preserve"> </w:t>
      </w:r>
      <w:r w:rsidRPr="00BC6034">
        <w:rPr>
          <w:rFonts w:ascii="Times New Roman" w:hAnsi="Times New Roman" w:cs="Times New Roman"/>
          <w:sz w:val="18"/>
          <w:szCs w:val="18"/>
        </w:rPr>
        <w:fldChar w:fldCharType="begin" w:fldLock="1"/>
      </w:r>
      <w:r w:rsidR="008B6EED">
        <w:rPr>
          <w:rFonts w:ascii="Times New Roman" w:hAnsi="Times New Roman" w:cs="Times New Roman"/>
          <w:sz w:val="18"/>
          <w:szCs w:val="18"/>
        </w:rPr>
        <w:instrText>ADDIN CSL_CITATION {"citationItems":[{"id":"ITEM-1","itemData":{"abstract":"Fungsi Dewan Syariah Nasional (DSN) adalah melaksanakan tugas-tugas Majelis Ulama Indonesia (MUI) dalam mendorong dan memajukan ekonomi umat. Di samping itu, lembaga ini juga bertugas antara lain, untuk menggali, mengkaji dan merumuskan nilai dan prinsip-prinsip hukum Islam (syari’ah) untuk dijadikan pedoman dalam kegiatan transaksi di lembaga-lembaga keuangan syariah, serta mengawasi pelaksanaan dan implementasinya. Pedoman inilah yang kemudian dituangkan dalam bentuk fatwa. Dari segi kekuatan hukum, fatwa ini bersifat mengikat bagi seluruh lembaga keuangan yang menerapkan prinsip syariah sebagai landasan dan standar operasionalnya. Tulisan ini akan menguji fatwa-fatwa DSN tentang perbankan syariah.","author":[{"dropping-particle":"","family":"Hidayah","given":"N","non-dropping-particle":"","parse-names":false,"suffix":""}],"container-title":"Al-'Adalah","id":"ITEM-1","issued":{"date-parts":[["2011"]]},"title":"Fatwa-Fatwa Dewan Syariah Nasional Atas Aspek Hukum Islam Perbankan Syariah Di Indonesia","type":"article-journal"},"uris":["http://www.mendeley.com/documents/?uuid=72ef43bd-9c58-4b20-902b-db070f880181"]}],"mendeley":{"formattedCitation":"N Hidayah, ‘Fatwa-Fatwa Dewan Syariah Nasional Atas Aspek Hukum Islam Perbankan Syariah Di Indonesia’, &lt;i&gt;Al-’Adalah&lt;/i&gt;, 2011.","plainTextFormattedCitation":"N Hidayah, ‘Fatwa-Fatwa Dewan Syariah Nasional Atas Aspek Hukum Islam Perbankan Syariah Di Indonesia’, Al-’Adalah, 2011.","previouslyFormattedCitation":"N Hidayah, ‘Fatwa-Fatwa Dewan Syariah Nasional Atas Aspek Hukum Islam Perbankan Syariah Di Indonesia’, &lt;i&gt;Al-’Adalah&lt;/i&gt;, 2011."},"properties":{"noteIndex":8},"schema":"https://github.com/citation-style-language/schema/raw/master/csl-citation.json"}</w:instrText>
      </w:r>
      <w:r w:rsidRPr="00BC6034">
        <w:rPr>
          <w:rFonts w:ascii="Times New Roman" w:hAnsi="Times New Roman" w:cs="Times New Roman"/>
          <w:sz w:val="18"/>
          <w:szCs w:val="18"/>
        </w:rPr>
        <w:fldChar w:fldCharType="separate"/>
      </w:r>
      <w:r w:rsidRPr="00BC6034">
        <w:rPr>
          <w:rFonts w:ascii="Times New Roman" w:hAnsi="Times New Roman" w:cs="Times New Roman"/>
          <w:noProof/>
          <w:sz w:val="18"/>
          <w:szCs w:val="18"/>
        </w:rPr>
        <w:t xml:space="preserve">N Hidayah, ‘Fatwa-Fatwa Dewan Syariah Nasional Atas Aspek Hukum Islam Perbankan Syariah Di Indonesia’, </w:t>
      </w:r>
      <w:r w:rsidRPr="00BC6034">
        <w:rPr>
          <w:rFonts w:ascii="Times New Roman" w:hAnsi="Times New Roman" w:cs="Times New Roman"/>
          <w:i/>
          <w:noProof/>
          <w:sz w:val="18"/>
          <w:szCs w:val="18"/>
        </w:rPr>
        <w:t>Al-’Adalah</w:t>
      </w:r>
      <w:r w:rsidRPr="00BC6034">
        <w:rPr>
          <w:rFonts w:ascii="Times New Roman" w:hAnsi="Times New Roman" w:cs="Times New Roman"/>
          <w:noProof/>
          <w:sz w:val="18"/>
          <w:szCs w:val="18"/>
        </w:rPr>
        <w:t>, 2011.</w:t>
      </w:r>
      <w:r w:rsidRPr="00BC6034">
        <w:rPr>
          <w:rFonts w:ascii="Times New Roman" w:hAnsi="Times New Roman" w:cs="Times New Roman"/>
          <w:sz w:val="18"/>
          <w:szCs w:val="18"/>
        </w:rPr>
        <w:fldChar w:fldCharType="end"/>
      </w:r>
    </w:p>
  </w:footnote>
  <w:footnote w:id="9">
    <w:p w:rsidR="000E68D9" w:rsidRDefault="000E68D9">
      <w:pPr>
        <w:pStyle w:val="FootnoteText"/>
      </w:pPr>
      <w:r>
        <w:rPr>
          <w:rStyle w:val="FootnoteReference"/>
        </w:rPr>
        <w:footnoteRef/>
      </w:r>
      <w:r>
        <w:t xml:space="preserve"> </w:t>
      </w:r>
      <w:r w:rsidRPr="000E68D9">
        <w:rPr>
          <w:sz w:val="18"/>
          <w:szCs w:val="18"/>
        </w:rPr>
        <w:fldChar w:fldCharType="begin" w:fldLock="1"/>
      </w:r>
      <w:r w:rsidR="008B6EED">
        <w:rPr>
          <w:sz w:val="18"/>
          <w:szCs w:val="18"/>
        </w:rPr>
        <w:instrText>ADDIN CSL_CITATION {"citationItems":[{"id":"ITEM-1","itemData":{"DOI":"10.19105/al-ihkam.v12i1.1191","ISSN":"1907-591X","abstract":"Abstrak: Fatwa tidak sama dengan hukum positif yang memiliki kekuatan mengikat bagi seluruh warganegara, namun fatwa dapat memiliki kekuatan mengikat setelah ditransformasi ke dalam peraturan perundang-undangan. Fatwa yang dikeluarkan oleh DSN-MUI (Dewan Syariah Nasional Majelis Ulama Indonesia) kurang lebih sebanyak 107 fatwa dan telah memberi kontribusi positif terhadap regulasi sistem hukum ekonomi syariah. Fatwa DSN-MUI menjadi bagian penting dalam sistem Hukum Republik Indonesia yang berdasarkan pada Pancasila sila pertama adalah Ketuhanan Yang Maha Esa dan salah satu dari the living law-nya adalah Hukum Islam. Metode penelitian yuridis normatif ini dilakukan dengan pendekatan deskriptif analitis, yaitu menggambarkan secara sistematis, faktual dan akurat, segala fakta dan permasalahan yang diteliti dikaitkan dengan teori-teori hukum dan dengan (1) pendekatan perundang- undangan (statute approach), (2) pendekatan sejarah (hystorical approach), (3) pendekatan politis (Political approach). Selanjutnya, data yang diperoleh dianalisis secara yuridis kualitatif dengan memperhatikan sistem hukum yang berlaku dan kemudian dilakukan penafsiran.","author":[{"dropping-particle":"","family":"Fariana","given":"Andi","non-dropping-particle":"","parse-names":false,"suffix":""}],"container-title":"Al-Ihkam: Jurnal Hukum &amp; Pranata Sosial","id":"ITEM-1","issued":{"date-parts":[["2017"]]},"title":"Urgensi Fatwa MUI dalam Pembangunan Sistem Hukum Ekonomi Islam di Indonesia","type":"article-journal"},"uris":["http://www.mendeley.com/documents/?uuid=84065bd3-ca3f-4743-a6c7-acafd94e8858"]}],"mendeley":{"formattedCitation":"Andi Fariana, ‘Urgensi Fatwa MUI Dalam Pembangunan Sistem Hukum Ekonomi Islam Di Indonesia’, &lt;i&gt;Al-Ihkam: Jurnal Hukum &amp; Pranata Sosial&lt;/i&gt;, 2017 &lt;https://doi.org/10.19105/al-ihkam.v12i1.1191&gt;.","plainTextFormattedCitation":"Andi Fariana, ‘Urgensi Fatwa MUI Dalam Pembangunan Sistem Hukum Ekonomi Islam Di Indonesia’, Al-Ihkam: Jurnal Hukum &amp; Pranata Sosial, 2017 .","previouslyFormattedCitation":"Andi Fariana, ‘Urgensi Fatwa MUI Dalam Pembangunan Sistem Hukum Ekonomi Islam Di Indonesia’, &lt;i&gt;Al-Ihkam: Jurnal Hukum &amp; Pranata Sosial&lt;/i&gt;, 2017 &lt;https://doi.org/10.19105/al-ihkam.v12i1.1191&gt;."},"properties":{"noteIndex":9},"schema":"https://github.com/citation-style-language/schema/raw/master/csl-citation.json"}</w:instrText>
      </w:r>
      <w:r w:rsidRPr="000E68D9">
        <w:rPr>
          <w:sz w:val="18"/>
          <w:szCs w:val="18"/>
        </w:rPr>
        <w:fldChar w:fldCharType="separate"/>
      </w:r>
      <w:r w:rsidR="00485DB5" w:rsidRPr="00485DB5">
        <w:rPr>
          <w:noProof/>
          <w:sz w:val="18"/>
          <w:szCs w:val="18"/>
        </w:rPr>
        <w:t xml:space="preserve">Andi Fariana, ‘Urgensi Fatwa MUI Dalam Pembangunan Sistem Hukum Ekonomi Islam Di Indonesia’, </w:t>
      </w:r>
      <w:r w:rsidR="00485DB5" w:rsidRPr="00485DB5">
        <w:rPr>
          <w:i/>
          <w:noProof/>
          <w:sz w:val="18"/>
          <w:szCs w:val="18"/>
        </w:rPr>
        <w:t>Al-Ihkam: Jurnal Hukum &amp; Pranata Sosial</w:t>
      </w:r>
      <w:r w:rsidR="00485DB5" w:rsidRPr="00485DB5">
        <w:rPr>
          <w:noProof/>
          <w:sz w:val="18"/>
          <w:szCs w:val="18"/>
        </w:rPr>
        <w:t>, 2017 &lt;https://doi.org/10.19105/al-ihkam.v12i1.1191&gt;.</w:t>
      </w:r>
      <w:r w:rsidRPr="000E68D9">
        <w:rPr>
          <w:sz w:val="18"/>
          <w:szCs w:val="18"/>
        </w:rPr>
        <w:fldChar w:fldCharType="end"/>
      </w:r>
    </w:p>
  </w:footnote>
  <w:footnote w:id="10">
    <w:p w:rsidR="000E68D9" w:rsidRPr="000E68D9" w:rsidRDefault="000E68D9">
      <w:pPr>
        <w:pStyle w:val="FootnoteText"/>
        <w:rPr>
          <w:sz w:val="18"/>
          <w:szCs w:val="18"/>
        </w:rPr>
      </w:pPr>
      <w:r>
        <w:rPr>
          <w:rStyle w:val="FootnoteReference"/>
        </w:rPr>
        <w:footnoteRef/>
      </w:r>
      <w:r>
        <w:t xml:space="preserve"> </w:t>
      </w:r>
      <w:r w:rsidRPr="000E68D9">
        <w:rPr>
          <w:sz w:val="18"/>
          <w:szCs w:val="18"/>
        </w:rPr>
        <w:fldChar w:fldCharType="begin" w:fldLock="1"/>
      </w:r>
      <w:r w:rsidR="008B6EED">
        <w:rPr>
          <w:sz w:val="18"/>
          <w:szCs w:val="18"/>
        </w:rPr>
        <w:instrText>ADDIN CSL_CITATION {"citationItems":[{"id":"ITEM-1","itemData":{"DOI":"10.23971/el-mas.v8i2.1322","ISSN":"2089-1970","abstract":"Perkembangan ekonomi syariah yang signifikan di Indonesia, menuntut suatu perangkat peraturan perundangan-undangan yang dapat memberikan kepastian hukum kepada para praktisi ekonomi syariah dalam menjalankan ekonomi syariah. Keberadaan regulasi ekonomi syariah dalam tata hukum Indonesia diwarnai oleh dinamika hukum. Penelitian ini mengkaji  latar belakang penataan regulasi ekonomi syariah di Indonesia, dan dinamika penataanregulasi ekonomi syariah di Indonesia. Metode yang digunakan dalam penelitian ini menggunakan penelitian hukum normatif dengan pendekatan perundang-undangan (statute approach),pendekatan sejarah (historical approach) dan pendekatan konseptual (conceptual approach)yang dianalisis secara kualitatif.Hasil penelitian ini menunjukkan bahwa kebutuhan masyarakat Islam dalam menjalankan bagian syariat Islam dalam konteks muamalah ekonomi syariah, menuntut wajib memiliki kepastian hukum agar memberikan keyakinan dan jaminan kepatuhan serta pemenuhan prinsip syariah (shariah compliance) yang wajib harus dipenuhi negara melalui penataan regulasi. Dinamika penataan regulasi ekonomi syariah di Indonesia terlihat dalam bentuk sistem tertutup dan sistem terbuka, baik dari regulasi operasionalisasi, kelembagaan dan penyelesaian sengketa. Dinamika penataan regulasi ekonomi syariah dalam sistem tertutup mengacu pada hierarki hukum dan tata hukum dengan melalui politik hukum yang mengalami proses yang panjang dari tahun 1992 sampai 2018. Sementara dalam sistem terbuka, dinamika penataan regulasi ekonomi syariah berkembang secara cepat, responsif dan progresif melalui yurisprudensi putusan pengadilan dan fatwa DSN MUI","author":[{"dropping-particle":"","family":"Khair","given":"Abdul","non-dropping-particle":"","parse-names":false,"suffix":""}],"container-title":"El-Mashlahah","id":"ITEM-1","issued":{"date-parts":[["2019"]]},"title":"DINAMIKA PENATAAN REGULASI EKONOMI SYARIAN","type":"article-journal"},"uris":["http://www.mendeley.com/documents/?uuid=128aee51-6179-445e-a520-cc42c058ed4a"]}],"mendeley":{"formattedCitation":"Abdul Khair, ‘DINAMIKA PENATAAN REGULASI EKONOMI SYARIAN’, &lt;i&gt;El-Mashlahah&lt;/i&gt;, 2019 &lt;https://doi.org/10.23971/el-mas.v8i2.1322&gt;.","plainTextFormattedCitation":"Abdul Khair, ‘DINAMIKA PENATAAN REGULASI EKONOMI SYARIAN’, El-Mashlahah, 2019 .","previouslyFormattedCitation":"Abdul Khair, ‘DINAMIKA PENATAAN REGULASI EKONOMI SYARIAN’, &lt;i&gt;El-Mashlahah&lt;/i&gt;, 2019 &lt;https://doi.org/10.23971/el-mas.v8i2.1322&gt;."},"properties":{"noteIndex":10},"schema":"https://github.com/citation-style-language/schema/raw/master/csl-citation.json"}</w:instrText>
      </w:r>
      <w:r w:rsidRPr="000E68D9">
        <w:rPr>
          <w:sz w:val="18"/>
          <w:szCs w:val="18"/>
        </w:rPr>
        <w:fldChar w:fldCharType="separate"/>
      </w:r>
      <w:r w:rsidR="00485DB5" w:rsidRPr="00485DB5">
        <w:rPr>
          <w:noProof/>
          <w:sz w:val="18"/>
          <w:szCs w:val="18"/>
        </w:rPr>
        <w:t xml:space="preserve">Abdul Khair, ‘DINAMIKA PENATAAN REGULASI EKONOMI SYARIAN’, </w:t>
      </w:r>
      <w:r w:rsidR="00485DB5" w:rsidRPr="00485DB5">
        <w:rPr>
          <w:i/>
          <w:noProof/>
          <w:sz w:val="18"/>
          <w:szCs w:val="18"/>
        </w:rPr>
        <w:t>El-Mashlahah</w:t>
      </w:r>
      <w:r w:rsidR="00485DB5" w:rsidRPr="00485DB5">
        <w:rPr>
          <w:noProof/>
          <w:sz w:val="18"/>
          <w:szCs w:val="18"/>
        </w:rPr>
        <w:t>, 2019 &lt;https://doi.org/10.23971/el-mas.v8i2.1322&gt;.</w:t>
      </w:r>
      <w:r w:rsidRPr="000E68D9">
        <w:rPr>
          <w:sz w:val="18"/>
          <w:szCs w:val="18"/>
        </w:rPr>
        <w:fldChar w:fldCharType="end"/>
      </w:r>
    </w:p>
  </w:footnote>
  <w:footnote w:id="11">
    <w:p w:rsidR="000E68D9" w:rsidRPr="000E68D9" w:rsidRDefault="000E68D9">
      <w:pPr>
        <w:pStyle w:val="FootnoteText"/>
        <w:rPr>
          <w:sz w:val="18"/>
          <w:szCs w:val="18"/>
        </w:rPr>
      </w:pPr>
      <w:r>
        <w:rPr>
          <w:rStyle w:val="FootnoteReference"/>
        </w:rPr>
        <w:footnoteRef/>
      </w:r>
      <w:r>
        <w:t xml:space="preserve"> </w:t>
      </w:r>
      <w:r w:rsidRPr="000E68D9">
        <w:rPr>
          <w:sz w:val="18"/>
          <w:szCs w:val="18"/>
        </w:rPr>
        <w:fldChar w:fldCharType="begin" w:fldLock="1"/>
      </w:r>
      <w:r w:rsidR="008B6EED">
        <w:rPr>
          <w:sz w:val="18"/>
          <w:szCs w:val="18"/>
        </w:rPr>
        <w:instrText xml:space="preserve">ADDIN CSL_CITATION {"citationItems":[{"id":"ITEM-1","itemData":{"abstract":"pengembangan hukum Islam dalam bidang keluarga “diunifikasikan” secara khusus bagi POPULAR POSTS Syarat-syarat dan Rukun Shalat Jum’at Tindak Pidana Pembunuhan dalam KUHP Macam-macam Pembunuhan Dalam Hukum Islam Pengertian Syukur Perlindungan Hukum Jual Beli yang Diperbolehkan dan Jual Beli yang Dilarang dalam Islam Tujuan Perkawinan Menurut Islam, UU No. 1 Tahun 1974 dan KHI Tugas dan Wewenang Advokat Macam-Macam Ijma' Prinsip-prinsip Politik Islam SUDUT HUKUM™ PENGANTAR ILMU HUKUM HUKUM FIQH ILMU OPINI </w:instrText>
      </w:r>
      <w:r w:rsidR="008B6EED">
        <w:rPr>
          <w:sz w:val="18"/>
          <w:szCs w:val="18"/>
        </w:rPr>
        <w:instrText> orang-orang Islam, sebagaimana tertulis dalam Kompilasi Hukum Islam (KHI). Ia merupakan suatu bentuk “unifikasi” dari keanekaragaman hukum Islam sebagaimana terdapat dalam anekaragam produk pemikiran fuqaha yang tersebar dalam berbagai kitab fiqh di Indonesia. Pengembangan hukum nasional itu didasarkan kepada politik hukum yang ditetapkan. Politik hukum tersebut merupakan suatu keputusan kekuasaan negara tentang hukum yang berlaku secara nasional dan arah pengembangan sistem hukum yang dianut. Politik hukum itu dirumuskan dan ditetapkan melalui badan penyelenggara negara yang memiliki kewenangan di bidang itu. Dalam proses perumusan dan penetapan politik hukum tersebut terjadi interaksi para elite yang mewakili berbagai kelompok kepentingan untuk memperoleh konsensus bagi pengembangan hukum dalam suatu satuan masyarakat bangsa yang diikat oleh organisasi negara nasional. Berkenaan dengan hal itu, terdapat variasi transformasi fiqh ke dalam produk badan penyelenggara negara, terutama badan legislatif dan eksekutif. Hal itu tergantung kepada politik hukum yang ditetapkan, yang kemudian ditindaklanjuti melalui program legislasi nasional. Sumber hukum positif dalam sistem hukum nasional dan dalam tata urutan peraturan perundang-undangan, sebagaimana telah disebutkan dalam Undang-Undang No. 12 Tahun 2011 tentang Pembentukan Peraturan Perundang-undangan, tidak menyebutkan fatwa sebagai bagian dari dasar hukum di negara ini, sehingga fatwa tidak dapat dijadikan sebagai landasan hukum. Fatwa hanya sebagai suatu pendapat atau nasehat yang disampaikan oleh para ahli hukum Islam yang tergabung dalam suatu wadah organisasi, seperti MUI, Muhammadiyah, NU, Persis, dan lembaga lainnya. Sehingga fatwa dapat dikorelasikan dengan sumber hukum formal dalam sistem hukum nasional, yakni kedudukan fatwa sama dengan doktrin yang merupakan pendapat pakar atau pendapat para ahli di bidang hukum positif. Dalam praktik, doktrin (pendapat ahli hukum) banyak mempengaruhi pelaksan…","author":[{"dropping-particle":"","family":"By Admin","given":"","non-dropping-particle":"","parse-names":false,"suffix":""}],"container-title":"Thursday, 22 December","id":"ITEM-1","issued":{"date-parts":[["2016"]]},"title":"Perkembangan Fatwa Dewan Syariah Nasional sebelum Lahirnya UU No. 21 Tahun 2008 tentang Perbankan Syariah","type":"webpage"},"uris":["http://www.mendeley.com/documents/?uuid=30dce1cb-37df-475f-8039-5d7ec745da39"]}],"mendeley":{"formattedCitation":"By Admin, ‘Perkembangan Fatwa Dewan Syariah Nasional Sebelum Lahirnya UU No. 21 Tahun 2008 Tentang Perbankan Syariah’, &lt;i&gt;Thursday, 22 December&lt;/i&gt;, 2016.","plainTextFormattedCitation":"By Admin, ‘Perkembangan Fatwa Dewan Syariah Nasional Sebelum Lahirnya UU No. 21 Tahun 2008 Tentang Perbankan Syariah’, Thursday, 22 December, 2016.","previouslyFormattedCitation":"By Admin, ‘Perkembangan Fatwa Dewan Syariah Nasional Sebelum Lahirnya UU No. 21 Tahun 2008 Tentang Perbankan Syariah’, &lt;i&gt;Thursday, 22 December&lt;/i&gt;, 2016."},"properties":{"noteIndex":11},"schema":"https://github.com/citation-style-language/schema/raw/master/csl-citation.json"}</w:instrText>
      </w:r>
      <w:r w:rsidRPr="000E68D9">
        <w:rPr>
          <w:sz w:val="18"/>
          <w:szCs w:val="18"/>
        </w:rPr>
        <w:fldChar w:fldCharType="separate"/>
      </w:r>
      <w:r w:rsidRPr="000E68D9">
        <w:rPr>
          <w:noProof/>
          <w:sz w:val="18"/>
          <w:szCs w:val="18"/>
        </w:rPr>
        <w:t xml:space="preserve">By Admin, ‘Perkembangan Fatwa Dewan Syariah Nasional Sebelum Lahirnya UU No. 21 Tahun 2008 Tentang Perbankan Syariah’, </w:t>
      </w:r>
      <w:r w:rsidRPr="000E68D9">
        <w:rPr>
          <w:i/>
          <w:noProof/>
          <w:sz w:val="18"/>
          <w:szCs w:val="18"/>
        </w:rPr>
        <w:t>Thursday, 22 December</w:t>
      </w:r>
      <w:r w:rsidRPr="000E68D9">
        <w:rPr>
          <w:noProof/>
          <w:sz w:val="18"/>
          <w:szCs w:val="18"/>
        </w:rPr>
        <w:t>, 2016.</w:t>
      </w:r>
      <w:r w:rsidRPr="000E68D9">
        <w:rPr>
          <w:sz w:val="18"/>
          <w:szCs w:val="18"/>
        </w:rPr>
        <w:fldChar w:fldCharType="end"/>
      </w:r>
    </w:p>
  </w:footnote>
  <w:footnote w:id="12">
    <w:p w:rsidR="000E68D9" w:rsidRPr="000E68D9" w:rsidRDefault="000E68D9">
      <w:pPr>
        <w:pStyle w:val="FootnoteText"/>
        <w:rPr>
          <w:sz w:val="18"/>
          <w:szCs w:val="18"/>
        </w:rPr>
      </w:pPr>
      <w:r>
        <w:rPr>
          <w:rStyle w:val="FootnoteReference"/>
        </w:rPr>
        <w:footnoteRef/>
      </w:r>
      <w:r>
        <w:t xml:space="preserve"> </w:t>
      </w:r>
      <w:r w:rsidRPr="000E68D9">
        <w:rPr>
          <w:sz w:val="18"/>
          <w:szCs w:val="18"/>
        </w:rPr>
        <w:fldChar w:fldCharType="begin" w:fldLock="1"/>
      </w:r>
      <w:r w:rsidR="008B6EED">
        <w:rPr>
          <w:sz w:val="18"/>
          <w:szCs w:val="18"/>
        </w:rPr>
        <w:instrText>ADDIN CSL_CITATION {"citationItems":[{"id":"ITEM-1","itemData":{"DOI":"10.24014/hi.v18i2.6693","ISSN":"1411-8041","abstract":"Al-‘uqud al-murakkabah merupakan tema yang selalu menarik karena ia dianggap sebagai solusi hukum ekonomi syariah di dalam perbankan. Tanpa adanya al-‘uqu&gt;d al-murakkabah, maka perbankan syariah tidak akan bisa berkembang untuk menjawab sistem dan transaksi ekonomi konvensional.Dalam analisis ilmiah, al-‘uqud al-murakkabah merupakan bagian progresifitas hukum ekonomi syariah dalam pengembangan akad-akad perbankan syariah di Indonesia. Karena banyak diterbitkan regulasi perundang-undangan, fatwa Dewan Syariah Nasional (DSN-MUI) yang mendukung terhadap pelaksanaan al-‘uqud al-murakkabah. ","author":[{"dropping-particle":"","family":"Mawardi","given":"Mawardi","non-dropping-particle":"","parse-names":false,"suffix":""}],"container-title":"Hukum Islam","id":"ITEM-1","issued":{"date-parts":[["2019"]]},"title":"AL-‘UQUD AL-MURAKKABAH SEBAGAI PROGRESIFITAS HUKUM EKONOMI SYARIAH DALAM PENGEMBANGAN AKAD-AKAD PERBANKAN SYARIAH DI INDONESIA","type":"article-journal"},"uris":["http://www.mendeley.com/documents/?uuid=96a88e92-e508-48c0-8549-7dc89c49bc9e"]}],"mendeley":{"formattedCitation":"Mawardi Mawardi, ‘AL-‘UQUD AL-MURAKKABAH SEBAGAI PROGRESIFITAS HUKUM EKONOMI SYARIAH DALAM PENGEMBANGAN AKAD-AKAD PERBANKAN SYARIAH DI INDONESIA’, &lt;i&gt;Hukum Islam&lt;/i&gt;, 2019 &lt;https://doi.org/10.24014/hi.v18i2.6693&gt;.","plainTextFormattedCitation":"Mawardi Mawardi, ‘AL-‘UQUD AL-MURAKKABAH SEBAGAI PROGRESIFITAS HUKUM EKONOMI SYARIAH DALAM PENGEMBANGAN AKAD-AKAD PERBANKAN SYARIAH DI INDONESIA’, Hukum Islam, 2019 .","previouslyFormattedCitation":"Mawardi Mawardi, ‘AL-‘UQUD AL-MURAKKABAH SEBAGAI PROGRESIFITAS HUKUM EKONOMI SYARIAH DALAM PENGEMBANGAN AKAD-AKAD PERBANKAN SYARIAH DI INDONESIA’, &lt;i&gt;Hukum Islam&lt;/i&gt;, 2019 &lt;https://doi.org/10.24014/hi.v18i2.6693&gt;."},"properties":{"noteIndex":12},"schema":"https://github.com/citation-style-language/schema/raw/master/csl-citation.json"}</w:instrText>
      </w:r>
      <w:r w:rsidRPr="000E68D9">
        <w:rPr>
          <w:sz w:val="18"/>
          <w:szCs w:val="18"/>
        </w:rPr>
        <w:fldChar w:fldCharType="separate"/>
      </w:r>
      <w:r w:rsidR="00485DB5" w:rsidRPr="00485DB5">
        <w:rPr>
          <w:noProof/>
          <w:sz w:val="18"/>
          <w:szCs w:val="18"/>
        </w:rPr>
        <w:t xml:space="preserve">Mawardi Mawardi, ‘AL-‘UQUD AL-MURAKKABAH SEBAGAI PROGRESIFITAS HUKUM EKONOMI SYARIAH DALAM PENGEMBANGAN AKAD-AKAD PERBANKAN SYARIAH DI INDONESIA’, </w:t>
      </w:r>
      <w:r w:rsidR="00485DB5" w:rsidRPr="00485DB5">
        <w:rPr>
          <w:i/>
          <w:noProof/>
          <w:sz w:val="18"/>
          <w:szCs w:val="18"/>
        </w:rPr>
        <w:t>Hukum Islam</w:t>
      </w:r>
      <w:r w:rsidR="00485DB5" w:rsidRPr="00485DB5">
        <w:rPr>
          <w:noProof/>
          <w:sz w:val="18"/>
          <w:szCs w:val="18"/>
        </w:rPr>
        <w:t>, 2019 &lt;https://doi.org/10.24014/hi.v18i2.6693&gt;.</w:t>
      </w:r>
      <w:r w:rsidRPr="000E68D9">
        <w:rPr>
          <w:sz w:val="18"/>
          <w:szCs w:val="18"/>
        </w:rPr>
        <w:fldChar w:fldCharType="end"/>
      </w:r>
    </w:p>
  </w:footnote>
  <w:footnote w:id="13">
    <w:p w:rsidR="00BA0237" w:rsidRDefault="00BA0237">
      <w:pPr>
        <w:pStyle w:val="FootnoteText"/>
      </w:pPr>
      <w:r>
        <w:rPr>
          <w:rStyle w:val="FootnoteReference"/>
        </w:rPr>
        <w:footnoteRef/>
      </w:r>
      <w:r>
        <w:t xml:space="preserve"> </w:t>
      </w:r>
      <w:r>
        <w:fldChar w:fldCharType="begin" w:fldLock="1"/>
      </w:r>
      <w:r w:rsidR="008B6EED">
        <w:instrText>ADDIN CSL_CITATION {"citationItems":[{"id":"ITEM-1","itemData":{"author":[{"dropping-particle":"","family":"Bukiting","given":"firman KCP BSM","non-dropping-particle":"","parse-names":false,"suffix":""}],"id":"ITEM-1","issued":{"date-parts":[["2019"]]},"page":"wawancara langsung","title":"No Title","type":"speech"},"uris":["http://www.mendeley.com/documents/?uuid=4a847175-1f64-4453-a1ad-78ddbc8613f9"]}],"mendeley":{"formattedCitation":"firman KCP BSM Bukiting, ‘No Title’, 2019, p. wawancara langsung.","plainTextFormattedCitation":"firman KCP BSM Bukiting, ‘No Title’, 2019, p. wawancara langsung.","previouslyFormattedCitation":"firman KCP BSM Bukiting, ‘No Title’, 2019, p. wawancara langsung."},"properties":{"noteIndex":13},"schema":"https://github.com/citation-style-language/schema/raw/master/csl-citation.json"}</w:instrText>
      </w:r>
      <w:r>
        <w:fldChar w:fldCharType="separate"/>
      </w:r>
      <w:r w:rsidRPr="00BA0237">
        <w:rPr>
          <w:noProof/>
        </w:rPr>
        <w:t>firman KCP BSM Bukiting, ‘No Title’, 2019, p. wawancara langsung.</w:t>
      </w:r>
      <w:r>
        <w:fldChar w:fldCharType="end"/>
      </w:r>
    </w:p>
  </w:footnote>
  <w:footnote w:id="14">
    <w:p w:rsidR="00534BC4" w:rsidRDefault="00534BC4">
      <w:pPr>
        <w:pStyle w:val="FootnoteText"/>
      </w:pPr>
      <w:r>
        <w:rPr>
          <w:rStyle w:val="FootnoteReference"/>
        </w:rPr>
        <w:footnoteRef/>
      </w:r>
      <w:r>
        <w:t xml:space="preserve"> </w:t>
      </w:r>
      <w:r>
        <w:fldChar w:fldCharType="begin" w:fldLock="1"/>
      </w:r>
      <w:r w:rsidR="008B6EED">
        <w:instrText>ADDIN CSL_CITATION {"citationItems":[{"id":"ITEM-1","itemData":{"author":[{"dropping-particle":"","family":"Bukiting","given":"firman KCP BSM","non-dropping-particle":"","parse-names":false,"suffix":""}],"id":"ITEM-1","issued":{"date-parts":[["2019"]]},"page":"wawancara langsung","title":"No Title","type":"speech"},"uris":["http://www.mendeley.com/documents/?uuid=4a847175-1f64-4453-a1ad-78ddbc8613f9"]}],"mendeley":{"formattedCitation":"Bukiting.","plainTextFormattedCitation":"Bukiting.","previouslyFormattedCitation":"Bukiting."},"properties":{"noteIndex":14},"schema":"https://github.com/citation-style-language/schema/raw/master/csl-citation.json"}</w:instrText>
      </w:r>
      <w:r>
        <w:fldChar w:fldCharType="separate"/>
      </w:r>
      <w:r w:rsidRPr="00534BC4">
        <w:rPr>
          <w:noProof/>
        </w:rPr>
        <w:t>Bukiting.</w:t>
      </w:r>
      <w:r>
        <w:fldChar w:fldCharType="end"/>
      </w:r>
    </w:p>
  </w:footnote>
  <w:footnote w:id="15">
    <w:p w:rsidR="0099666B" w:rsidRDefault="0099666B">
      <w:pPr>
        <w:pStyle w:val="FootnoteText"/>
      </w:pPr>
      <w:r>
        <w:rPr>
          <w:rStyle w:val="FootnoteReference"/>
        </w:rPr>
        <w:footnoteRef/>
      </w:r>
      <w:r>
        <w:t xml:space="preserve"> </w:t>
      </w:r>
      <w:r>
        <w:fldChar w:fldCharType="begin" w:fldLock="1"/>
      </w:r>
      <w:r w:rsidR="008B6EED">
        <w:instrText>ADDIN CSL_CITATION {"citationItems":[{"id":"ITEM-1","itemData":{"author":[{"dropping-particle":"","family":"hendri kamal","given":"direktur BPRS Haji Miskin","non-dropping-particle":"","parse-names":false,"suffix":""}],"id":"ITEM-1","issued":{"date-parts":[["2019"]]},"page":"wawancara langsung","title":"No Title","type":"speech"},"uris":["http://www.mendeley.com/documents/?uuid=a50da86a-d06f-4bcc-89ad-611ba9150b67"]}],"mendeley":{"formattedCitation":"direktur BPRS Haji Miskin hendri kamal, ‘No Title’, 2019, p. wawancara langsung.","plainTextFormattedCitation":"direktur BPRS Haji Miskin hendri kamal, ‘No Title’, 2019, p. wawancara langsung.","previouslyFormattedCitation":"direktur BPRS Haji Miskin hendri kamal, ‘No Title’, 2019, p. wawancara langsung."},"properties":{"noteIndex":15},"schema":"https://github.com/citation-style-language/schema/raw/master/csl-citation.json"}</w:instrText>
      </w:r>
      <w:r>
        <w:fldChar w:fldCharType="separate"/>
      </w:r>
      <w:r w:rsidRPr="0099666B">
        <w:rPr>
          <w:noProof/>
        </w:rPr>
        <w:t>direktur BPRS Haji Miskin hendri kamal, ‘No Title’, 2019, p. wawancara langsung.</w:t>
      </w:r>
      <w:r>
        <w:fldChar w:fldCharType="end"/>
      </w:r>
    </w:p>
  </w:footnote>
  <w:footnote w:id="16">
    <w:p w:rsidR="0099666B" w:rsidRDefault="0099666B">
      <w:pPr>
        <w:pStyle w:val="FootnoteText"/>
      </w:pPr>
      <w:r>
        <w:rPr>
          <w:rStyle w:val="FootnoteReference"/>
        </w:rPr>
        <w:footnoteRef/>
      </w:r>
      <w:r>
        <w:t xml:space="preserve"> </w:t>
      </w:r>
      <w:r>
        <w:fldChar w:fldCharType="begin" w:fldLock="1"/>
      </w:r>
      <w:r w:rsidR="008B6EED">
        <w:instrText>ADDIN CSL_CITATION {"citationItems":[{"id":"ITEM-1","itemData":{"author":[{"dropping-particle":"","family":"hendri kamal","given":"direktur BPRS Haji Miskin","non-dropping-particle":"","parse-names":false,"suffix":""}],"id":"ITEM-1","issued":{"date-parts":[["2019"]]},"page":"wawancara langsung","title":"No Title","type":"speech"},"uris":["http://www.mendeley.com/documents/?uuid=a50da86a-d06f-4bcc-89ad-611ba9150b67"]}],"mendeley":{"formattedCitation":"hendri kamal.","plainTextFormattedCitation":"hendri kamal.","previouslyFormattedCitation":"hendri kamal."},"properties":{"noteIndex":16},"schema":"https://github.com/citation-style-language/schema/raw/master/csl-citation.json"}</w:instrText>
      </w:r>
      <w:r>
        <w:fldChar w:fldCharType="separate"/>
      </w:r>
      <w:r w:rsidRPr="0099666B">
        <w:rPr>
          <w:noProof/>
        </w:rPr>
        <w:t>hendri kamal.</w:t>
      </w:r>
      <w:r>
        <w:fldChar w:fldCharType="end"/>
      </w:r>
    </w:p>
  </w:footnote>
  <w:footnote w:id="17">
    <w:p w:rsidR="0099666B" w:rsidRDefault="0099666B">
      <w:pPr>
        <w:pStyle w:val="FootnoteText"/>
      </w:pPr>
      <w:r>
        <w:rPr>
          <w:rStyle w:val="FootnoteReference"/>
        </w:rPr>
        <w:footnoteRef/>
      </w:r>
      <w:r>
        <w:t xml:space="preserve"> </w:t>
      </w:r>
      <w:r>
        <w:fldChar w:fldCharType="begin" w:fldLock="1"/>
      </w:r>
      <w:r w:rsidR="008B6EED">
        <w:instrText>ADDIN CSL_CITATION {"citationItems":[{"id":"ITEM-1","itemData":{"author":[{"dropping-particle":"","family":"Satriadi Ghafar","given":"Komisaris BPRS Al-Makmur","non-dropping-particle":"","parse-names":false,"suffix":""}],"id":"ITEM-1","issued":{"date-parts":[["2019"]]},"page":"wawancara langsung","title":"No Title","type":"speech"},"uris":["http://www.mendeley.com/documents/?uuid=4df0a526-372c-4ac6-a1cf-bac0a7ed7193"]}],"mendeley":{"formattedCitation":"Komisaris BPRS Al-Makmur Satriadi Ghafar, ‘No Title’, 2019, p. wawancara langsung.","plainTextFormattedCitation":"Komisaris BPRS Al-Makmur Satriadi Ghafar, ‘No Title’, 2019, p. wawancara langsung.","previouslyFormattedCitation":"Komisaris BPRS Al-Makmur Satriadi Ghafar, ‘No Title’, 2019, p. wawancara langsung."},"properties":{"noteIndex":17},"schema":"https://github.com/citation-style-language/schema/raw/master/csl-citation.json"}</w:instrText>
      </w:r>
      <w:r>
        <w:fldChar w:fldCharType="separate"/>
      </w:r>
      <w:r w:rsidRPr="0099666B">
        <w:rPr>
          <w:noProof/>
        </w:rPr>
        <w:t>Komisaris BPRS Al-Makmur Satriadi Ghafar, ‘No Title’, 2019, p. wawancara langsung.</w:t>
      </w:r>
      <w:r>
        <w:fldChar w:fldCharType="end"/>
      </w:r>
    </w:p>
  </w:footnote>
  <w:footnote w:id="18">
    <w:p w:rsidR="00485DB5" w:rsidRPr="00485DB5" w:rsidRDefault="00485DB5">
      <w:pPr>
        <w:pStyle w:val="FootnoteText"/>
        <w:rPr>
          <w:rFonts w:ascii="Times New Roman" w:hAnsi="Times New Roman" w:cs="Times New Roman"/>
          <w:sz w:val="18"/>
          <w:szCs w:val="18"/>
        </w:rPr>
      </w:pPr>
      <w:r>
        <w:rPr>
          <w:rStyle w:val="FootnoteReference"/>
        </w:rPr>
        <w:footnoteRef/>
      </w:r>
      <w:r>
        <w:t xml:space="preserve"> </w:t>
      </w:r>
      <w:r w:rsidRPr="00485DB5">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{"citationItems":[{"id":"ITEM-1","itemData":{"DOI":"10.21274/ahkam.2016.4.2.171-198","ISSN":"2303-1905","abstract":"Until now, there have been 100 fatwas issued by the DSN-MUI. In ayah (3) of Law No. 21/2008 concerning Islamic Banking, it is explained that the fatwa referred in ayah (2) set forth in Indonesia. That case consist that Bank Regulation implies that the new DSN-MUI fatwa is binding after being regulated become Bank Indonesia Regulation (PBI). In transformed into PBI, fatwa DSN-MUI has been also transformed into the Economic Law Compilation true Syari’ah is the Indonesian Supreme Court Regulation No. 2 of 2008. In addition the DSN-MUI fatwa also transformed into provisions of the legislation in the field of capital markets such as the Law No. 19 of 2008 concerning Sharia Securities. There was a lot of research about the kinds of fatwa that are transformed into positive law mentioned above, but not touching the whole aspect of how the pattern of absorption DSN-MUI fatwa to the laws and this research was conducted to answer the question. This study is using research library with content models and comparative analysis in order to explain the contents of the statutory provisions and DSN-MUI fatwa and to compare both of them. Based on this research we concluded that there are three models DSN-MUI fatwa absorption in the legislation, the first model of copy and paste or copy the title fatwa in the articles of a law. Second,","author":[{"dropping-particle":"","family":"Wahid","given":"Soleh Hasan","non-dropping-particle":"","parse-names":false,"suffix":""}],"container-title":"Ahkam: Jurnal Hukum Islam","id":"ITEM-1","issued":{"date-parts":[["2016"]]},"title":"POLA TRANSFORMASI FATWA EKONOMI SYARIAH DSN-MUI DALAM PERATURAN PERUNDANG-UNDANGAN DI INDONESIA","type":"article-journal"},"uris":["http://www.mendeley.com/documents/?uuid=6782c85a-4c51-4719-845f-b73a677e6936"]}],"mendeley":{"formattedCitation":"Soleh Hasan Wahid, ‘POLA TRANSFORMASI FATWA EKONOMI SYARIAH DSN-MUI DALAM PERATURAN PERUNDANG-UNDANGAN DI INDONESIA’, &lt;i&gt;Ahkam: Jurnal Hukum Islam&lt;/i&gt;, 2016 &lt;https://doi.org/10.21274/ahkam.2016.4.2.171-198&gt;.","plainTextFormattedCitation":"Soleh Hasan Wahid, ‘POLA TRANSFORMASI FATWA EKONOMI SYARIAH DSN-MUI DALAM PERATURAN PERUNDANG-UNDANGAN DI INDONESIA’, Ahkam: Jurnal Hukum Islam, 2016 .","previouslyFormattedCitation":"Soleh Hasan Wahid, ‘POLA TRANSFORMASI FATWA EKONOMI SYARIAH DSN-MUI DALAM PERATURAN PERUNDANG-UNDANGAN DI INDONESIA’, &lt;i&gt;Ahkam: Jurnal Hukum Islam&lt;/i&gt;, 2016 &lt;https://doi.org/10.21274/ahkam.2016.4.2.171-198&gt;."},"properties":{"noteIndex":18},"schema":"https://github.com/citation-style-language/schema/raw/master/csl-citation.json"}</w:instrText>
      </w:r>
      <w:r w:rsidRPr="00485DB5">
        <w:rPr>
          <w:rFonts w:ascii="Times New Roman" w:hAnsi="Times New Roman" w:cs="Times New Roman"/>
          <w:sz w:val="18"/>
          <w:szCs w:val="18"/>
        </w:rPr>
        <w:fldChar w:fldCharType="separate"/>
      </w:r>
      <w:r w:rsidRPr="00485DB5">
        <w:rPr>
          <w:rFonts w:ascii="Times New Roman" w:hAnsi="Times New Roman" w:cs="Times New Roman"/>
          <w:noProof/>
          <w:sz w:val="18"/>
          <w:szCs w:val="18"/>
        </w:rPr>
        <w:t xml:space="preserve">Soleh Hasan Wahid, ‘POLA TRANSFORMASI FATWA EKONOMI SYARIAH DSN-MUI DALAM PERATURAN PERUNDANG-UNDANGAN DI INDONESIA’, </w:t>
      </w:r>
      <w:r w:rsidRPr="00485DB5">
        <w:rPr>
          <w:rFonts w:ascii="Times New Roman" w:hAnsi="Times New Roman" w:cs="Times New Roman"/>
          <w:i/>
          <w:noProof/>
          <w:sz w:val="18"/>
          <w:szCs w:val="18"/>
        </w:rPr>
        <w:t>Ahkam: Jurnal Hukum Islam</w:t>
      </w:r>
      <w:r w:rsidRPr="00485DB5">
        <w:rPr>
          <w:rFonts w:ascii="Times New Roman" w:hAnsi="Times New Roman" w:cs="Times New Roman"/>
          <w:noProof/>
          <w:sz w:val="18"/>
          <w:szCs w:val="18"/>
        </w:rPr>
        <w:t>, 2016 &lt;https://doi.org/10.21274/ahkam.2016.4.2.171-198&gt;.</w:t>
      </w:r>
      <w:r w:rsidRPr="00485DB5">
        <w:rPr>
          <w:rFonts w:ascii="Times New Roman" w:hAnsi="Times New Roman" w:cs="Times New Roman"/>
          <w:sz w:val="18"/>
          <w:szCs w:val="18"/>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651" w:type="dxa"/>
      <w:tblLook w:val="04A0" w:firstRow="1" w:lastRow="0" w:firstColumn="1" w:lastColumn="0" w:noHBand="0" w:noVBand="1"/>
    </w:tblPr>
    <w:tblGrid>
      <w:gridCol w:w="3402"/>
      <w:gridCol w:w="2382"/>
      <w:gridCol w:w="3438"/>
    </w:tblGrid>
    <w:tr w:rsidR="00623B94" w:rsidRPr="00117D2E" w:rsidTr="005C5232">
      <w:trPr>
        <w:jc w:val="center"/>
      </w:trPr>
      <w:tc>
        <w:tcPr>
          <w:tcW w:w="3402" w:type="dxa"/>
          <w:vMerge w:val="restart"/>
          <w:shd w:val="clear" w:color="auto" w:fill="auto"/>
          <w:vAlign w:val="center"/>
        </w:tcPr>
        <w:p w:rsidR="00623B94" w:rsidRPr="00117D2E" w:rsidRDefault="00623B94"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382" w:type="dxa"/>
          <w:shd w:val="clear" w:color="auto" w:fill="auto"/>
        </w:tcPr>
        <w:p w:rsidR="00623B94" w:rsidRPr="00081ACD" w:rsidRDefault="00623B94"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438" w:type="dxa"/>
          <w:vMerge w:val="restart"/>
          <w:shd w:val="clear" w:color="auto" w:fill="auto"/>
          <w:vAlign w:val="center"/>
        </w:tcPr>
        <w:p w:rsidR="00623B94" w:rsidRPr="00117D2E" w:rsidRDefault="00623B94" w:rsidP="006956F9">
          <w:pPr>
            <w:pStyle w:val="Header"/>
            <w:jc w:val="right"/>
            <w:rPr>
              <w:rFonts w:ascii="Palatino Linotype" w:hAnsi="Palatino Linotype" w:cs="Calibri"/>
              <w:i/>
              <w:iCs/>
              <w:sz w:val="20"/>
            </w:rPr>
          </w:pPr>
          <w:r w:rsidRPr="00117D2E">
            <w:rPr>
              <w:rFonts w:ascii="Palatino Linotype" w:hAnsi="Palatino Linotype" w:cs="Calibri"/>
              <w:i/>
              <w:iCs/>
              <w:sz w:val="20"/>
            </w:rPr>
            <w:t xml:space="preserve">Vol. </w:t>
          </w:r>
          <w:r>
            <w:rPr>
              <w:rFonts w:ascii="Palatino Linotype" w:hAnsi="Palatino Linotype" w:cs="Calibri"/>
              <w:i/>
              <w:iCs/>
              <w:sz w:val="20"/>
              <w:lang w:val="en-US"/>
            </w:rPr>
            <w:t>…</w:t>
          </w:r>
          <w:r>
            <w:rPr>
              <w:rFonts w:ascii="Palatino Linotype" w:hAnsi="Palatino Linotype" w:cs="Calibri"/>
              <w:i/>
              <w:iCs/>
              <w:sz w:val="20"/>
            </w:rPr>
            <w:t>.</w:t>
          </w:r>
          <w:r w:rsidRPr="00117D2E">
            <w:rPr>
              <w:rFonts w:ascii="Palatino Linotype" w:hAnsi="Palatino Linotype" w:cs="Calibri"/>
              <w:i/>
              <w:iCs/>
              <w:sz w:val="20"/>
            </w:rPr>
            <w:t xml:space="preserve">, No. </w:t>
          </w:r>
          <w:r>
            <w:rPr>
              <w:rFonts w:ascii="Palatino Linotype" w:hAnsi="Palatino Linotype" w:cs="Calibri"/>
              <w:i/>
              <w:iCs/>
              <w:sz w:val="20"/>
              <w:lang w:val="en-US"/>
            </w:rPr>
            <w:t>…</w:t>
          </w:r>
          <w:r w:rsidRPr="00117D2E">
            <w:rPr>
              <w:rFonts w:ascii="Palatino Linotype" w:hAnsi="Palatino Linotype" w:cs="Calibri"/>
              <w:i/>
              <w:iCs/>
              <w:sz w:val="20"/>
            </w:rPr>
            <w:t>.</w:t>
          </w:r>
          <w:r>
            <w:rPr>
              <w:rFonts w:ascii="Palatino Linotype" w:hAnsi="Palatino Linotype" w:cs="Calibri"/>
              <w:i/>
              <w:iCs/>
            </w:rPr>
            <w:t xml:space="preserve"> </w:t>
          </w:r>
          <w:proofErr w:type="spellStart"/>
          <w:r>
            <w:rPr>
              <w:rFonts w:ascii="Palatino Linotype" w:hAnsi="Palatino Linotype" w:cs="Calibri"/>
              <w:i/>
              <w:iCs/>
              <w:sz w:val="20"/>
              <w:lang w:val="en-US"/>
            </w:rPr>
            <w:t>Bulan</w:t>
          </w:r>
          <w:proofErr w:type="spellEnd"/>
          <w:r>
            <w:rPr>
              <w:rFonts w:ascii="Palatino Linotype" w:hAnsi="Palatino Linotype" w:cs="Calibri"/>
              <w:i/>
              <w:iCs/>
              <w:sz w:val="20"/>
              <w:lang w:val="en-US"/>
            </w:rPr>
            <w:t xml:space="preserve"> </w:t>
          </w:r>
          <w:proofErr w:type="spellStart"/>
          <w:r>
            <w:rPr>
              <w:rFonts w:ascii="Palatino Linotype" w:hAnsi="Palatino Linotype" w:cs="Calibri"/>
              <w:i/>
              <w:iCs/>
              <w:sz w:val="20"/>
              <w:lang w:val="en-US"/>
            </w:rPr>
            <w:t>dan</w:t>
          </w:r>
          <w:proofErr w:type="spellEnd"/>
          <w:r>
            <w:rPr>
              <w:rFonts w:ascii="Palatino Linotype" w:hAnsi="Palatino Linotype" w:cs="Calibri"/>
              <w:i/>
              <w:iCs/>
              <w:sz w:val="20"/>
              <w:lang w:val="en-US"/>
            </w:rPr>
            <w:t xml:space="preserve"> </w:t>
          </w:r>
          <w:proofErr w:type="spellStart"/>
          <w:r>
            <w:rPr>
              <w:rFonts w:ascii="Palatino Linotype" w:hAnsi="Palatino Linotype" w:cs="Calibri"/>
              <w:i/>
              <w:iCs/>
              <w:sz w:val="20"/>
              <w:lang w:val="en-US"/>
            </w:rPr>
            <w:t>Tahun</w:t>
          </w:r>
          <w:proofErr w:type="spellEnd"/>
        </w:p>
      </w:tc>
    </w:tr>
    <w:tr w:rsidR="00623B94" w:rsidRPr="00117D2E" w:rsidTr="005C5232">
      <w:trPr>
        <w:jc w:val="center"/>
      </w:trPr>
      <w:tc>
        <w:tcPr>
          <w:tcW w:w="3402" w:type="dxa"/>
          <w:vMerge/>
          <w:shd w:val="clear" w:color="auto" w:fill="auto"/>
        </w:tcPr>
        <w:p w:rsidR="00623B94" w:rsidRPr="00117D2E" w:rsidRDefault="00623B94" w:rsidP="005C5232">
          <w:pPr>
            <w:pStyle w:val="Header"/>
            <w:rPr>
              <w:rFonts w:ascii="Palatino Linotype" w:hAnsi="Palatino Linotype" w:cs="Calibri"/>
              <w:i/>
              <w:iCs/>
              <w:sz w:val="20"/>
            </w:rPr>
          </w:pPr>
        </w:p>
      </w:tc>
      <w:tc>
        <w:tcPr>
          <w:tcW w:w="2382" w:type="dxa"/>
          <w:shd w:val="clear" w:color="auto" w:fill="auto"/>
        </w:tcPr>
        <w:p w:rsidR="00623B94" w:rsidRPr="00081ACD" w:rsidRDefault="00623B94"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438" w:type="dxa"/>
          <w:vMerge/>
          <w:shd w:val="clear" w:color="auto" w:fill="auto"/>
        </w:tcPr>
        <w:p w:rsidR="00623B94" w:rsidRPr="00117D2E" w:rsidRDefault="00623B94" w:rsidP="005C5232">
          <w:pPr>
            <w:pStyle w:val="Header"/>
            <w:rPr>
              <w:rFonts w:ascii="Palatino Linotype" w:hAnsi="Palatino Linotype" w:cs="Calibri"/>
              <w:i/>
              <w:iCs/>
              <w:sz w:val="20"/>
            </w:rPr>
          </w:pPr>
        </w:p>
      </w:tc>
    </w:tr>
  </w:tbl>
  <w:p w:rsidR="00623B94" w:rsidRDefault="00623B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651" w:type="dxa"/>
      <w:tblLook w:val="04A0" w:firstRow="1" w:lastRow="0" w:firstColumn="1" w:lastColumn="0" w:noHBand="0" w:noVBand="1"/>
    </w:tblPr>
    <w:tblGrid>
      <w:gridCol w:w="3402"/>
      <w:gridCol w:w="2382"/>
      <w:gridCol w:w="3438"/>
    </w:tblGrid>
    <w:tr w:rsidR="00623B94" w:rsidRPr="00117D2E" w:rsidTr="005C5232">
      <w:trPr>
        <w:jc w:val="center"/>
      </w:trPr>
      <w:tc>
        <w:tcPr>
          <w:tcW w:w="3402" w:type="dxa"/>
          <w:vMerge w:val="restart"/>
          <w:shd w:val="clear" w:color="auto" w:fill="auto"/>
          <w:vAlign w:val="center"/>
        </w:tcPr>
        <w:p w:rsidR="00623B94" w:rsidRPr="00117D2E" w:rsidRDefault="00623B94"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382" w:type="dxa"/>
          <w:shd w:val="clear" w:color="auto" w:fill="auto"/>
        </w:tcPr>
        <w:p w:rsidR="00623B94" w:rsidRPr="00081ACD" w:rsidRDefault="00623B94"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438" w:type="dxa"/>
          <w:vMerge w:val="restart"/>
          <w:shd w:val="clear" w:color="auto" w:fill="auto"/>
          <w:vAlign w:val="center"/>
        </w:tcPr>
        <w:p w:rsidR="00623B94" w:rsidRPr="00117D2E" w:rsidRDefault="00623B94" w:rsidP="00AB46DE">
          <w:pPr>
            <w:pStyle w:val="Header"/>
            <w:jc w:val="right"/>
            <w:rPr>
              <w:rFonts w:ascii="Palatino Linotype" w:hAnsi="Palatino Linotype" w:cs="Calibri"/>
              <w:i/>
              <w:iCs/>
              <w:sz w:val="20"/>
            </w:rPr>
          </w:pPr>
          <w:r w:rsidRPr="00117D2E">
            <w:rPr>
              <w:rFonts w:ascii="Palatino Linotype" w:hAnsi="Palatino Linotype" w:cs="Calibri"/>
              <w:i/>
              <w:iCs/>
              <w:sz w:val="20"/>
            </w:rPr>
            <w:t xml:space="preserve">Vol. </w:t>
          </w:r>
          <w:r>
            <w:rPr>
              <w:rFonts w:ascii="Palatino Linotype" w:hAnsi="Palatino Linotype" w:cs="Calibri"/>
              <w:i/>
              <w:iCs/>
              <w:sz w:val="20"/>
              <w:lang w:val="en-US"/>
            </w:rPr>
            <w:t>…</w:t>
          </w:r>
          <w:r>
            <w:rPr>
              <w:rFonts w:ascii="Palatino Linotype" w:hAnsi="Palatino Linotype" w:cs="Calibri"/>
              <w:i/>
              <w:iCs/>
              <w:sz w:val="20"/>
            </w:rPr>
            <w:t>.</w:t>
          </w:r>
          <w:r w:rsidRPr="00117D2E">
            <w:rPr>
              <w:rFonts w:ascii="Palatino Linotype" w:hAnsi="Palatino Linotype" w:cs="Calibri"/>
              <w:i/>
              <w:iCs/>
              <w:sz w:val="20"/>
            </w:rPr>
            <w:t xml:space="preserve">, No. </w:t>
          </w:r>
          <w:r>
            <w:rPr>
              <w:rFonts w:ascii="Palatino Linotype" w:hAnsi="Palatino Linotype" w:cs="Calibri"/>
              <w:i/>
              <w:iCs/>
              <w:sz w:val="20"/>
              <w:lang w:val="en-US"/>
            </w:rPr>
            <w:t>…</w:t>
          </w:r>
          <w:r w:rsidRPr="00117D2E">
            <w:rPr>
              <w:rFonts w:ascii="Palatino Linotype" w:hAnsi="Palatino Linotype" w:cs="Calibri"/>
              <w:i/>
              <w:iCs/>
              <w:sz w:val="20"/>
            </w:rPr>
            <w:t>.</w:t>
          </w:r>
          <w:r>
            <w:rPr>
              <w:rFonts w:ascii="Palatino Linotype" w:hAnsi="Palatino Linotype" w:cs="Calibri"/>
              <w:i/>
              <w:iCs/>
            </w:rPr>
            <w:t xml:space="preserve"> </w:t>
          </w:r>
          <w:proofErr w:type="spellStart"/>
          <w:r>
            <w:rPr>
              <w:rFonts w:ascii="Palatino Linotype" w:hAnsi="Palatino Linotype" w:cs="Calibri"/>
              <w:i/>
              <w:iCs/>
              <w:sz w:val="20"/>
              <w:lang w:val="en-US"/>
            </w:rPr>
            <w:t>Bulan</w:t>
          </w:r>
          <w:proofErr w:type="spellEnd"/>
          <w:r>
            <w:rPr>
              <w:rFonts w:ascii="Palatino Linotype" w:hAnsi="Palatino Linotype" w:cs="Calibri"/>
              <w:i/>
              <w:iCs/>
              <w:sz w:val="20"/>
              <w:lang w:val="en-US"/>
            </w:rPr>
            <w:t xml:space="preserve"> </w:t>
          </w:r>
          <w:proofErr w:type="spellStart"/>
          <w:r>
            <w:rPr>
              <w:rFonts w:ascii="Palatino Linotype" w:hAnsi="Palatino Linotype" w:cs="Calibri"/>
              <w:i/>
              <w:iCs/>
              <w:sz w:val="20"/>
              <w:lang w:val="en-US"/>
            </w:rPr>
            <w:t>dan</w:t>
          </w:r>
          <w:proofErr w:type="spellEnd"/>
          <w:r>
            <w:rPr>
              <w:rFonts w:ascii="Palatino Linotype" w:hAnsi="Palatino Linotype" w:cs="Calibri"/>
              <w:i/>
              <w:iCs/>
              <w:sz w:val="20"/>
              <w:lang w:val="en-US"/>
            </w:rPr>
            <w:t xml:space="preserve"> </w:t>
          </w:r>
          <w:proofErr w:type="spellStart"/>
          <w:r>
            <w:rPr>
              <w:rFonts w:ascii="Palatino Linotype" w:hAnsi="Palatino Linotype" w:cs="Calibri"/>
              <w:i/>
              <w:iCs/>
              <w:sz w:val="20"/>
              <w:lang w:val="en-US"/>
            </w:rPr>
            <w:t>Tahun</w:t>
          </w:r>
          <w:proofErr w:type="spellEnd"/>
          <w:r>
            <w:rPr>
              <w:rFonts w:ascii="Palatino Linotype" w:hAnsi="Palatino Linotype" w:cs="Calibri"/>
              <w:i/>
              <w:iCs/>
              <w:sz w:val="20"/>
            </w:rPr>
            <w:t xml:space="preserve"> </w:t>
          </w:r>
        </w:p>
      </w:tc>
    </w:tr>
    <w:tr w:rsidR="00623B94" w:rsidRPr="00117D2E" w:rsidTr="005C5232">
      <w:trPr>
        <w:jc w:val="center"/>
      </w:trPr>
      <w:tc>
        <w:tcPr>
          <w:tcW w:w="3402" w:type="dxa"/>
          <w:vMerge/>
          <w:shd w:val="clear" w:color="auto" w:fill="auto"/>
        </w:tcPr>
        <w:p w:rsidR="00623B94" w:rsidRPr="00117D2E" w:rsidRDefault="00623B94" w:rsidP="005C5232">
          <w:pPr>
            <w:pStyle w:val="Header"/>
            <w:rPr>
              <w:rFonts w:ascii="Palatino Linotype" w:hAnsi="Palatino Linotype" w:cs="Calibri"/>
              <w:i/>
              <w:iCs/>
              <w:sz w:val="20"/>
            </w:rPr>
          </w:pPr>
        </w:p>
      </w:tc>
      <w:tc>
        <w:tcPr>
          <w:tcW w:w="2382" w:type="dxa"/>
          <w:shd w:val="clear" w:color="auto" w:fill="auto"/>
        </w:tcPr>
        <w:p w:rsidR="00623B94" w:rsidRPr="00081ACD" w:rsidRDefault="00623B94"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438" w:type="dxa"/>
          <w:vMerge/>
          <w:shd w:val="clear" w:color="auto" w:fill="auto"/>
        </w:tcPr>
        <w:p w:rsidR="00623B94" w:rsidRPr="00117D2E" w:rsidRDefault="00623B94" w:rsidP="005C5232">
          <w:pPr>
            <w:pStyle w:val="Header"/>
            <w:rPr>
              <w:rFonts w:ascii="Palatino Linotype" w:hAnsi="Palatino Linotype" w:cs="Calibri"/>
              <w:i/>
              <w:iCs/>
              <w:sz w:val="20"/>
            </w:rPr>
          </w:pPr>
        </w:p>
      </w:tc>
    </w:tr>
  </w:tbl>
  <w:p w:rsidR="00623B94" w:rsidRDefault="00623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E3E3A"/>
    <w:multiLevelType w:val="singleLevel"/>
    <w:tmpl w:val="9C6E3E3A"/>
    <w:lvl w:ilvl="0">
      <w:start w:val="1"/>
      <w:numFmt w:val="decimal"/>
      <w:suff w:val="space"/>
      <w:lvlText w:val="%1."/>
      <w:lvlJc w:val="left"/>
    </w:lvl>
  </w:abstractNum>
  <w:abstractNum w:abstractNumId="1">
    <w:nsid w:val="BE3EA6C3"/>
    <w:multiLevelType w:val="singleLevel"/>
    <w:tmpl w:val="BE3EA6C3"/>
    <w:lvl w:ilvl="0">
      <w:start w:val="1"/>
      <w:numFmt w:val="decimal"/>
      <w:suff w:val="space"/>
      <w:lvlText w:val="%1."/>
      <w:lvlJc w:val="left"/>
    </w:lvl>
  </w:abstractNum>
  <w:abstractNum w:abstractNumId="2">
    <w:nsid w:val="CA0E88B9"/>
    <w:multiLevelType w:val="multilevel"/>
    <w:tmpl w:val="CA0E88B9"/>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00000009"/>
    <w:multiLevelType w:val="hybridMultilevel"/>
    <w:tmpl w:val="5FF87E04"/>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1F48EAA0"/>
    <w:lvl w:ilvl="0" w:tplc="FFFFFFFF">
      <w:start w:val="7"/>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73"/>
    <w:multiLevelType w:val="hybridMultilevel"/>
    <w:tmpl w:val="379E21B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74"/>
    <w:multiLevelType w:val="hybridMultilevel"/>
    <w:tmpl w:val="0069E37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75"/>
    <w:multiLevelType w:val="hybridMultilevel"/>
    <w:tmpl w:val="2C27173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5BC34AA"/>
    <w:multiLevelType w:val="singleLevel"/>
    <w:tmpl w:val="05BC34AA"/>
    <w:lvl w:ilvl="0">
      <w:start w:val="1"/>
      <w:numFmt w:val="decimal"/>
      <w:suff w:val="space"/>
      <w:lvlText w:val="%1."/>
      <w:lvlJc w:val="left"/>
    </w:lvl>
  </w:abstractNum>
  <w:abstractNum w:abstractNumId="9">
    <w:nsid w:val="06645FEF"/>
    <w:multiLevelType w:val="hybridMultilevel"/>
    <w:tmpl w:val="CF94046A"/>
    <w:lvl w:ilvl="0" w:tplc="D62296BA">
      <w:start w:val="1"/>
      <w:numFmt w:val="decimal"/>
      <w:lvlText w:val="%1."/>
      <w:lvlJc w:val="left"/>
      <w:pPr>
        <w:ind w:left="1440" w:hanging="360"/>
      </w:pPr>
      <w:rPr>
        <w:rFonts w:asciiTheme="majorBidi" w:eastAsiaTheme="minorEastAsia"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5078E9"/>
    <w:multiLevelType w:val="hybridMultilevel"/>
    <w:tmpl w:val="F46204D6"/>
    <w:lvl w:ilvl="0" w:tplc="9034B19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CB2B22"/>
    <w:multiLevelType w:val="hybridMultilevel"/>
    <w:tmpl w:val="81BEB9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1D94D0D"/>
    <w:multiLevelType w:val="singleLevel"/>
    <w:tmpl w:val="11D94D0D"/>
    <w:lvl w:ilvl="0">
      <w:start w:val="1"/>
      <w:numFmt w:val="decimal"/>
      <w:suff w:val="space"/>
      <w:lvlText w:val="%1."/>
      <w:lvlJc w:val="left"/>
    </w:lvl>
  </w:abstractNum>
  <w:abstractNum w:abstractNumId="13">
    <w:nsid w:val="188F4CCB"/>
    <w:multiLevelType w:val="hybridMultilevel"/>
    <w:tmpl w:val="ED6CC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040A95"/>
    <w:multiLevelType w:val="multilevel"/>
    <w:tmpl w:val="50A2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462F63"/>
    <w:multiLevelType w:val="hybridMultilevel"/>
    <w:tmpl w:val="29A29542"/>
    <w:lvl w:ilvl="0" w:tplc="4EC6788C">
      <w:numFmt w:val="bullet"/>
      <w:lvlText w:val="-"/>
      <w:lvlJc w:val="left"/>
      <w:pPr>
        <w:ind w:left="720" w:hanging="360"/>
      </w:pPr>
      <w:rPr>
        <w:rFonts w:ascii="Garamond" w:eastAsiaTheme="minorEastAsia" w:hAnsi="Garamond" w:cstheme="majorBidi"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1D631C87"/>
    <w:multiLevelType w:val="hybridMultilevel"/>
    <w:tmpl w:val="62DC20A8"/>
    <w:lvl w:ilvl="0" w:tplc="E7680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CB1B2B"/>
    <w:multiLevelType w:val="hybridMultilevel"/>
    <w:tmpl w:val="CE16A3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14721EC"/>
    <w:multiLevelType w:val="singleLevel"/>
    <w:tmpl w:val="214721EC"/>
    <w:lvl w:ilvl="0">
      <w:start w:val="1"/>
      <w:numFmt w:val="decimal"/>
      <w:suff w:val="space"/>
      <w:lvlText w:val="%1."/>
      <w:lvlJc w:val="left"/>
      <w:pPr>
        <w:ind w:left="880" w:firstLine="0"/>
      </w:pPr>
      <w:rPr>
        <w:b w:val="0"/>
      </w:rPr>
    </w:lvl>
  </w:abstractNum>
  <w:abstractNum w:abstractNumId="19">
    <w:nsid w:val="28EE7027"/>
    <w:multiLevelType w:val="hybridMultilevel"/>
    <w:tmpl w:val="95462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B40D21"/>
    <w:multiLevelType w:val="hybridMultilevel"/>
    <w:tmpl w:val="C6A09C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F0D4DDD"/>
    <w:multiLevelType w:val="hybridMultilevel"/>
    <w:tmpl w:val="D592ED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4F4F62"/>
    <w:multiLevelType w:val="hybridMultilevel"/>
    <w:tmpl w:val="7570B4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2911C3C"/>
    <w:multiLevelType w:val="hybridMultilevel"/>
    <w:tmpl w:val="00ECC234"/>
    <w:lvl w:ilvl="0" w:tplc="DCE859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CF612C"/>
    <w:multiLevelType w:val="hybridMultilevel"/>
    <w:tmpl w:val="63402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7B1BAB"/>
    <w:multiLevelType w:val="hybridMultilevel"/>
    <w:tmpl w:val="F130625E"/>
    <w:lvl w:ilvl="0" w:tplc="0CE405F0">
      <w:start w:val="1"/>
      <w:numFmt w:val="decimal"/>
      <w:lvlText w:val="%1."/>
      <w:lvlJc w:val="left"/>
      <w:pPr>
        <w:ind w:left="2160" w:hanging="360"/>
      </w:pPr>
      <w:rPr>
        <w:rFonts w:asciiTheme="majorBidi" w:eastAsiaTheme="minorEastAsia" w:hAnsiTheme="majorBidi" w:cstheme="majorBidi"/>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662D865"/>
    <w:multiLevelType w:val="singleLevel"/>
    <w:tmpl w:val="3662D865"/>
    <w:lvl w:ilvl="0">
      <w:start w:val="1"/>
      <w:numFmt w:val="lowerLetter"/>
      <w:suff w:val="space"/>
      <w:lvlText w:val="%1."/>
      <w:lvlJc w:val="left"/>
    </w:lvl>
  </w:abstractNum>
  <w:abstractNum w:abstractNumId="27">
    <w:nsid w:val="38525404"/>
    <w:multiLevelType w:val="hybridMultilevel"/>
    <w:tmpl w:val="9716B31E"/>
    <w:lvl w:ilvl="0" w:tplc="BC6A9EE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3F486D34"/>
    <w:multiLevelType w:val="hybridMultilevel"/>
    <w:tmpl w:val="4E3E2F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04E2011"/>
    <w:multiLevelType w:val="hybridMultilevel"/>
    <w:tmpl w:val="DF740E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5337736"/>
    <w:multiLevelType w:val="hybridMultilevel"/>
    <w:tmpl w:val="583C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42352F"/>
    <w:multiLevelType w:val="hybridMultilevel"/>
    <w:tmpl w:val="35FEA632"/>
    <w:lvl w:ilvl="0" w:tplc="4F0CEBDA">
      <w:start w:val="1"/>
      <w:numFmt w:val="lowerLetter"/>
      <w:lvlText w:val="%1."/>
      <w:lvlJc w:val="left"/>
      <w:pPr>
        <w:ind w:left="927" w:hanging="360"/>
      </w:pPr>
      <w:rPr>
        <w:rFonts w:hint="default"/>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4B507CD3"/>
    <w:multiLevelType w:val="hybridMultilevel"/>
    <w:tmpl w:val="3C90C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FD315C3"/>
    <w:multiLevelType w:val="hybridMultilevel"/>
    <w:tmpl w:val="3D64A2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06F69A6"/>
    <w:multiLevelType w:val="hybridMultilevel"/>
    <w:tmpl w:val="BA642E66"/>
    <w:lvl w:ilvl="0" w:tplc="D1880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2365DA"/>
    <w:multiLevelType w:val="hybridMultilevel"/>
    <w:tmpl w:val="6E2E7A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63155EC"/>
    <w:multiLevelType w:val="hybridMultilevel"/>
    <w:tmpl w:val="08C60D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BD062C2"/>
    <w:multiLevelType w:val="hybridMultilevel"/>
    <w:tmpl w:val="D03A00D2"/>
    <w:lvl w:ilvl="0" w:tplc="DE609CB6">
      <w:start w:val="1"/>
      <w:numFmt w:val="lowerLetter"/>
      <w:lvlText w:val="%1."/>
      <w:lvlJc w:val="left"/>
    </w:lvl>
    <w:lvl w:ilvl="1" w:tplc="79FE8ED6">
      <w:numFmt w:val="decimal"/>
      <w:lvlText w:val=""/>
      <w:lvlJc w:val="left"/>
    </w:lvl>
    <w:lvl w:ilvl="2" w:tplc="29F88F68">
      <w:numFmt w:val="decimal"/>
      <w:lvlText w:val=""/>
      <w:lvlJc w:val="left"/>
    </w:lvl>
    <w:lvl w:ilvl="3" w:tplc="FFB44968">
      <w:numFmt w:val="decimal"/>
      <w:lvlText w:val=""/>
      <w:lvlJc w:val="left"/>
    </w:lvl>
    <w:lvl w:ilvl="4" w:tplc="A5A05772">
      <w:numFmt w:val="decimal"/>
      <w:lvlText w:val=""/>
      <w:lvlJc w:val="left"/>
    </w:lvl>
    <w:lvl w:ilvl="5" w:tplc="34EA5696">
      <w:numFmt w:val="decimal"/>
      <w:lvlText w:val=""/>
      <w:lvlJc w:val="left"/>
    </w:lvl>
    <w:lvl w:ilvl="6" w:tplc="16A04EB4">
      <w:numFmt w:val="decimal"/>
      <w:lvlText w:val=""/>
      <w:lvlJc w:val="left"/>
    </w:lvl>
    <w:lvl w:ilvl="7" w:tplc="C92A0CD6">
      <w:numFmt w:val="decimal"/>
      <w:lvlText w:val=""/>
      <w:lvlJc w:val="left"/>
    </w:lvl>
    <w:lvl w:ilvl="8" w:tplc="DEA02B3C">
      <w:numFmt w:val="decimal"/>
      <w:lvlText w:val=""/>
      <w:lvlJc w:val="left"/>
    </w:lvl>
  </w:abstractNum>
  <w:abstractNum w:abstractNumId="38">
    <w:nsid w:val="5CF86DAC"/>
    <w:multiLevelType w:val="hybridMultilevel"/>
    <w:tmpl w:val="CD3C11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933658"/>
    <w:multiLevelType w:val="hybridMultilevel"/>
    <w:tmpl w:val="C5B65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181EAB"/>
    <w:multiLevelType w:val="hybridMultilevel"/>
    <w:tmpl w:val="9B0EEF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2C074BE"/>
    <w:multiLevelType w:val="multilevel"/>
    <w:tmpl w:val="E31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6A3A38"/>
    <w:multiLevelType w:val="hybridMultilevel"/>
    <w:tmpl w:val="DD20D520"/>
    <w:lvl w:ilvl="0" w:tplc="80803B6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7193C16"/>
    <w:multiLevelType w:val="hybridMultilevel"/>
    <w:tmpl w:val="A07C59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F3F78DB"/>
    <w:multiLevelType w:val="hybridMultilevel"/>
    <w:tmpl w:val="DD20D520"/>
    <w:lvl w:ilvl="0" w:tplc="80803B6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3"/>
  </w:num>
  <w:num w:numId="2">
    <w:abstractNumId w:val="25"/>
  </w:num>
  <w:num w:numId="3">
    <w:abstractNumId w:val="9"/>
  </w:num>
  <w:num w:numId="4">
    <w:abstractNumId w:val="34"/>
  </w:num>
  <w:num w:numId="5">
    <w:abstractNumId w:val="38"/>
  </w:num>
  <w:num w:numId="6">
    <w:abstractNumId w:val="43"/>
  </w:num>
  <w:num w:numId="7">
    <w:abstractNumId w:val="42"/>
  </w:num>
  <w:num w:numId="8">
    <w:abstractNumId w:val="10"/>
  </w:num>
  <w:num w:numId="9">
    <w:abstractNumId w:val="31"/>
  </w:num>
  <w:num w:numId="10">
    <w:abstractNumId w:val="39"/>
  </w:num>
  <w:num w:numId="11">
    <w:abstractNumId w:val="16"/>
  </w:num>
  <w:num w:numId="12">
    <w:abstractNumId w:val="27"/>
  </w:num>
  <w:num w:numId="13">
    <w:abstractNumId w:val="15"/>
  </w:num>
  <w:num w:numId="14">
    <w:abstractNumId w:val="44"/>
  </w:num>
  <w:num w:numId="15">
    <w:abstractNumId w:val="2"/>
  </w:num>
  <w:num w:numId="16">
    <w:abstractNumId w:val="26"/>
  </w:num>
  <w:num w:numId="17">
    <w:abstractNumId w:val="18"/>
  </w:num>
  <w:num w:numId="18">
    <w:abstractNumId w:val="0"/>
  </w:num>
  <w:num w:numId="19">
    <w:abstractNumId w:val="8"/>
  </w:num>
  <w:num w:numId="20">
    <w:abstractNumId w:val="12"/>
  </w:num>
  <w:num w:numId="21">
    <w:abstractNumId w:val="1"/>
  </w:num>
  <w:num w:numId="22">
    <w:abstractNumId w:val="32"/>
  </w:num>
  <w:num w:numId="23">
    <w:abstractNumId w:val="17"/>
  </w:num>
  <w:num w:numId="24">
    <w:abstractNumId w:val="36"/>
  </w:num>
  <w:num w:numId="25">
    <w:abstractNumId w:val="21"/>
  </w:num>
  <w:num w:numId="26">
    <w:abstractNumId w:val="20"/>
  </w:num>
  <w:num w:numId="27">
    <w:abstractNumId w:val="24"/>
  </w:num>
  <w:num w:numId="28">
    <w:abstractNumId w:val="28"/>
  </w:num>
  <w:num w:numId="29">
    <w:abstractNumId w:val="33"/>
  </w:num>
  <w:num w:numId="30">
    <w:abstractNumId w:val="40"/>
  </w:num>
  <w:num w:numId="31">
    <w:abstractNumId w:val="29"/>
  </w:num>
  <w:num w:numId="32">
    <w:abstractNumId w:val="14"/>
  </w:num>
  <w:num w:numId="33">
    <w:abstractNumId w:val="41"/>
  </w:num>
  <w:num w:numId="34">
    <w:abstractNumId w:val="23"/>
  </w:num>
  <w:num w:numId="35">
    <w:abstractNumId w:val="30"/>
  </w:num>
  <w:num w:numId="36">
    <w:abstractNumId w:val="19"/>
  </w:num>
  <w:num w:numId="37">
    <w:abstractNumId w:val="22"/>
  </w:num>
  <w:num w:numId="38">
    <w:abstractNumId w:val="35"/>
  </w:num>
  <w:num w:numId="39">
    <w:abstractNumId w:val="11"/>
  </w:num>
  <w:num w:numId="40">
    <w:abstractNumId w:val="3"/>
  </w:num>
  <w:num w:numId="41">
    <w:abstractNumId w:val="4"/>
  </w:num>
  <w:num w:numId="42">
    <w:abstractNumId w:val="37"/>
  </w:num>
  <w:num w:numId="43">
    <w:abstractNumId w:val="5"/>
  </w:num>
  <w:num w:numId="44">
    <w:abstractNumId w:val="6"/>
  </w:num>
  <w:num w:numId="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tzQzNTS1MDc2tTBQ0lEKTi0uzszPAykwrwUAOnx0OywAAAA="/>
  </w:docVars>
  <w:rsids>
    <w:rsidRoot w:val="00A202A3"/>
    <w:rsid w:val="000020AB"/>
    <w:rsid w:val="000026B9"/>
    <w:rsid w:val="0000297C"/>
    <w:rsid w:val="00003B9F"/>
    <w:rsid w:val="000066B0"/>
    <w:rsid w:val="000069CA"/>
    <w:rsid w:val="000073D6"/>
    <w:rsid w:val="00007DB9"/>
    <w:rsid w:val="000102C3"/>
    <w:rsid w:val="00010FCF"/>
    <w:rsid w:val="00016B25"/>
    <w:rsid w:val="000210BE"/>
    <w:rsid w:val="00024176"/>
    <w:rsid w:val="000248D6"/>
    <w:rsid w:val="000301A3"/>
    <w:rsid w:val="00032FA1"/>
    <w:rsid w:val="00032FFD"/>
    <w:rsid w:val="000358B9"/>
    <w:rsid w:val="00037180"/>
    <w:rsid w:val="00037A32"/>
    <w:rsid w:val="000414A1"/>
    <w:rsid w:val="0004739C"/>
    <w:rsid w:val="0006192A"/>
    <w:rsid w:val="00061B57"/>
    <w:rsid w:val="00062ABD"/>
    <w:rsid w:val="00064095"/>
    <w:rsid w:val="00071D8A"/>
    <w:rsid w:val="00072AAA"/>
    <w:rsid w:val="00075AE1"/>
    <w:rsid w:val="00080A49"/>
    <w:rsid w:val="00082159"/>
    <w:rsid w:val="00082599"/>
    <w:rsid w:val="0009047F"/>
    <w:rsid w:val="0009074D"/>
    <w:rsid w:val="0009269E"/>
    <w:rsid w:val="00095BAD"/>
    <w:rsid w:val="000A68CB"/>
    <w:rsid w:val="000B1F4B"/>
    <w:rsid w:val="000B686C"/>
    <w:rsid w:val="000C1B5E"/>
    <w:rsid w:val="000C2821"/>
    <w:rsid w:val="000C3330"/>
    <w:rsid w:val="000C6CD4"/>
    <w:rsid w:val="000D0615"/>
    <w:rsid w:val="000D1711"/>
    <w:rsid w:val="000D1EB2"/>
    <w:rsid w:val="000D52F0"/>
    <w:rsid w:val="000E492F"/>
    <w:rsid w:val="000E54CD"/>
    <w:rsid w:val="000E68D9"/>
    <w:rsid w:val="000E68DC"/>
    <w:rsid w:val="000E745B"/>
    <w:rsid w:val="000E7CB2"/>
    <w:rsid w:val="000F0D28"/>
    <w:rsid w:val="000F113E"/>
    <w:rsid w:val="000F3BB2"/>
    <w:rsid w:val="000F443B"/>
    <w:rsid w:val="000F47B5"/>
    <w:rsid w:val="000F7CF0"/>
    <w:rsid w:val="0010017D"/>
    <w:rsid w:val="00102227"/>
    <w:rsid w:val="00104D88"/>
    <w:rsid w:val="00105B52"/>
    <w:rsid w:val="001155F9"/>
    <w:rsid w:val="00122A22"/>
    <w:rsid w:val="0012627D"/>
    <w:rsid w:val="00126940"/>
    <w:rsid w:val="001342E5"/>
    <w:rsid w:val="00136EF1"/>
    <w:rsid w:val="00140C02"/>
    <w:rsid w:val="00140CED"/>
    <w:rsid w:val="00147287"/>
    <w:rsid w:val="00150AD5"/>
    <w:rsid w:val="00151078"/>
    <w:rsid w:val="00152AD9"/>
    <w:rsid w:val="001551A2"/>
    <w:rsid w:val="0015593B"/>
    <w:rsid w:val="0015609B"/>
    <w:rsid w:val="001578D8"/>
    <w:rsid w:val="001621E6"/>
    <w:rsid w:val="0016483F"/>
    <w:rsid w:val="00170332"/>
    <w:rsid w:val="00172E7A"/>
    <w:rsid w:val="00175781"/>
    <w:rsid w:val="00177CA9"/>
    <w:rsid w:val="00181A43"/>
    <w:rsid w:val="00182F0F"/>
    <w:rsid w:val="001853E7"/>
    <w:rsid w:val="00190264"/>
    <w:rsid w:val="00191C7B"/>
    <w:rsid w:val="001921D3"/>
    <w:rsid w:val="00197B0E"/>
    <w:rsid w:val="001A13C3"/>
    <w:rsid w:val="001A232A"/>
    <w:rsid w:val="001A2B5C"/>
    <w:rsid w:val="001B036C"/>
    <w:rsid w:val="001B1573"/>
    <w:rsid w:val="001B1B00"/>
    <w:rsid w:val="001B232F"/>
    <w:rsid w:val="001B2AB6"/>
    <w:rsid w:val="001B2F70"/>
    <w:rsid w:val="001B5F7F"/>
    <w:rsid w:val="001C1233"/>
    <w:rsid w:val="001C21F7"/>
    <w:rsid w:val="001C4D5C"/>
    <w:rsid w:val="001D2603"/>
    <w:rsid w:val="001D6166"/>
    <w:rsid w:val="001D6673"/>
    <w:rsid w:val="001E0BA2"/>
    <w:rsid w:val="001E0FC3"/>
    <w:rsid w:val="001E4978"/>
    <w:rsid w:val="001E550E"/>
    <w:rsid w:val="001E7B8F"/>
    <w:rsid w:val="001F2D51"/>
    <w:rsid w:val="002067A8"/>
    <w:rsid w:val="00206CBD"/>
    <w:rsid w:val="002121BA"/>
    <w:rsid w:val="0021647B"/>
    <w:rsid w:val="00217DBD"/>
    <w:rsid w:val="00236B5A"/>
    <w:rsid w:val="00237DB2"/>
    <w:rsid w:val="0024333E"/>
    <w:rsid w:val="00243E56"/>
    <w:rsid w:val="00243F35"/>
    <w:rsid w:val="00246F4E"/>
    <w:rsid w:val="002516C8"/>
    <w:rsid w:val="00256064"/>
    <w:rsid w:val="00260042"/>
    <w:rsid w:val="002613F3"/>
    <w:rsid w:val="00261C9E"/>
    <w:rsid w:val="00264119"/>
    <w:rsid w:val="00264867"/>
    <w:rsid w:val="0027257C"/>
    <w:rsid w:val="00272A19"/>
    <w:rsid w:val="00273E71"/>
    <w:rsid w:val="00280BD7"/>
    <w:rsid w:val="0028199A"/>
    <w:rsid w:val="00286280"/>
    <w:rsid w:val="002877D8"/>
    <w:rsid w:val="00287928"/>
    <w:rsid w:val="00287E0D"/>
    <w:rsid w:val="00291817"/>
    <w:rsid w:val="002A0071"/>
    <w:rsid w:val="002A066B"/>
    <w:rsid w:val="002A1F45"/>
    <w:rsid w:val="002A3610"/>
    <w:rsid w:val="002A52B5"/>
    <w:rsid w:val="002A630F"/>
    <w:rsid w:val="002B1AF8"/>
    <w:rsid w:val="002B1CCD"/>
    <w:rsid w:val="002B2B30"/>
    <w:rsid w:val="002B3DDC"/>
    <w:rsid w:val="002B6A28"/>
    <w:rsid w:val="002C054C"/>
    <w:rsid w:val="002C2156"/>
    <w:rsid w:val="002D2222"/>
    <w:rsid w:val="002D7287"/>
    <w:rsid w:val="002E22F0"/>
    <w:rsid w:val="002E57A0"/>
    <w:rsid w:val="002F1595"/>
    <w:rsid w:val="00300123"/>
    <w:rsid w:val="00311E3A"/>
    <w:rsid w:val="0031285C"/>
    <w:rsid w:val="0031557C"/>
    <w:rsid w:val="003155AC"/>
    <w:rsid w:val="00315FC4"/>
    <w:rsid w:val="00316097"/>
    <w:rsid w:val="003176B9"/>
    <w:rsid w:val="00327137"/>
    <w:rsid w:val="0032743A"/>
    <w:rsid w:val="003303DA"/>
    <w:rsid w:val="003350A1"/>
    <w:rsid w:val="003352AE"/>
    <w:rsid w:val="00337694"/>
    <w:rsid w:val="003405EB"/>
    <w:rsid w:val="00341B9C"/>
    <w:rsid w:val="00344E56"/>
    <w:rsid w:val="00350367"/>
    <w:rsid w:val="00355727"/>
    <w:rsid w:val="003571ED"/>
    <w:rsid w:val="0035795C"/>
    <w:rsid w:val="00361527"/>
    <w:rsid w:val="00365F55"/>
    <w:rsid w:val="00366900"/>
    <w:rsid w:val="0037127F"/>
    <w:rsid w:val="00372DDD"/>
    <w:rsid w:val="003766A9"/>
    <w:rsid w:val="003770E6"/>
    <w:rsid w:val="00380BF3"/>
    <w:rsid w:val="00381306"/>
    <w:rsid w:val="00386188"/>
    <w:rsid w:val="00390246"/>
    <w:rsid w:val="00393A76"/>
    <w:rsid w:val="00394241"/>
    <w:rsid w:val="00395D6A"/>
    <w:rsid w:val="00396FAB"/>
    <w:rsid w:val="003B2F19"/>
    <w:rsid w:val="003B4BA4"/>
    <w:rsid w:val="003C06C4"/>
    <w:rsid w:val="003C1F27"/>
    <w:rsid w:val="003C2B8E"/>
    <w:rsid w:val="003C737D"/>
    <w:rsid w:val="003C7EE4"/>
    <w:rsid w:val="003D0DAA"/>
    <w:rsid w:val="003D2D5C"/>
    <w:rsid w:val="003D3786"/>
    <w:rsid w:val="003D40E9"/>
    <w:rsid w:val="003D45F2"/>
    <w:rsid w:val="003E54C6"/>
    <w:rsid w:val="003E7271"/>
    <w:rsid w:val="003E7907"/>
    <w:rsid w:val="003F267E"/>
    <w:rsid w:val="003F3020"/>
    <w:rsid w:val="00404637"/>
    <w:rsid w:val="004075CB"/>
    <w:rsid w:val="00411D4B"/>
    <w:rsid w:val="00421266"/>
    <w:rsid w:val="00422820"/>
    <w:rsid w:val="00424D9F"/>
    <w:rsid w:val="004349BE"/>
    <w:rsid w:val="00446D1D"/>
    <w:rsid w:val="0045305E"/>
    <w:rsid w:val="00454DAE"/>
    <w:rsid w:val="004643F9"/>
    <w:rsid w:val="004656F8"/>
    <w:rsid w:val="0046604F"/>
    <w:rsid w:val="00466D4D"/>
    <w:rsid w:val="00467BD4"/>
    <w:rsid w:val="00477E6C"/>
    <w:rsid w:val="00480432"/>
    <w:rsid w:val="004804A6"/>
    <w:rsid w:val="00485877"/>
    <w:rsid w:val="00485DB5"/>
    <w:rsid w:val="0048799D"/>
    <w:rsid w:val="00490899"/>
    <w:rsid w:val="00493BD8"/>
    <w:rsid w:val="004A067A"/>
    <w:rsid w:val="004A4DD1"/>
    <w:rsid w:val="004B29B4"/>
    <w:rsid w:val="004B4B8E"/>
    <w:rsid w:val="004C04DD"/>
    <w:rsid w:val="004C0AEE"/>
    <w:rsid w:val="004C0C5F"/>
    <w:rsid w:val="004C745B"/>
    <w:rsid w:val="004C7583"/>
    <w:rsid w:val="004D2E9E"/>
    <w:rsid w:val="004D627C"/>
    <w:rsid w:val="004D6DE7"/>
    <w:rsid w:val="004D72DC"/>
    <w:rsid w:val="004D7340"/>
    <w:rsid w:val="004D7A91"/>
    <w:rsid w:val="004D7B15"/>
    <w:rsid w:val="004E24A3"/>
    <w:rsid w:val="004E5BB9"/>
    <w:rsid w:val="004F03FE"/>
    <w:rsid w:val="004F366E"/>
    <w:rsid w:val="004F7B2C"/>
    <w:rsid w:val="00500F19"/>
    <w:rsid w:val="005025C5"/>
    <w:rsid w:val="005034E5"/>
    <w:rsid w:val="00504AFE"/>
    <w:rsid w:val="00506AFE"/>
    <w:rsid w:val="00513AED"/>
    <w:rsid w:val="00517C1E"/>
    <w:rsid w:val="0052014D"/>
    <w:rsid w:val="005245A9"/>
    <w:rsid w:val="00534BC4"/>
    <w:rsid w:val="005404AF"/>
    <w:rsid w:val="00541569"/>
    <w:rsid w:val="00544936"/>
    <w:rsid w:val="00551907"/>
    <w:rsid w:val="00560A20"/>
    <w:rsid w:val="005644BD"/>
    <w:rsid w:val="00566EA8"/>
    <w:rsid w:val="0057042F"/>
    <w:rsid w:val="00570B57"/>
    <w:rsid w:val="005711DD"/>
    <w:rsid w:val="00572035"/>
    <w:rsid w:val="005752BC"/>
    <w:rsid w:val="005771CB"/>
    <w:rsid w:val="005849B9"/>
    <w:rsid w:val="00587A1D"/>
    <w:rsid w:val="00590ECD"/>
    <w:rsid w:val="005B4830"/>
    <w:rsid w:val="005B5349"/>
    <w:rsid w:val="005C35C1"/>
    <w:rsid w:val="005C3685"/>
    <w:rsid w:val="005C5232"/>
    <w:rsid w:val="005D01DC"/>
    <w:rsid w:val="005D278F"/>
    <w:rsid w:val="005D541F"/>
    <w:rsid w:val="005E094A"/>
    <w:rsid w:val="005E2ED4"/>
    <w:rsid w:val="005E3E0D"/>
    <w:rsid w:val="005F27BC"/>
    <w:rsid w:val="005F288B"/>
    <w:rsid w:val="005F7270"/>
    <w:rsid w:val="00601862"/>
    <w:rsid w:val="0060265A"/>
    <w:rsid w:val="00603626"/>
    <w:rsid w:val="00603DBF"/>
    <w:rsid w:val="00604D4E"/>
    <w:rsid w:val="006111BE"/>
    <w:rsid w:val="006112F7"/>
    <w:rsid w:val="00612135"/>
    <w:rsid w:val="00617C61"/>
    <w:rsid w:val="006206E5"/>
    <w:rsid w:val="0062088C"/>
    <w:rsid w:val="0062172F"/>
    <w:rsid w:val="00623B94"/>
    <w:rsid w:val="006268F6"/>
    <w:rsid w:val="00630004"/>
    <w:rsid w:val="006308BA"/>
    <w:rsid w:val="00632B61"/>
    <w:rsid w:val="00635562"/>
    <w:rsid w:val="00644D10"/>
    <w:rsid w:val="0064512D"/>
    <w:rsid w:val="00647F22"/>
    <w:rsid w:val="00655D0B"/>
    <w:rsid w:val="00657B00"/>
    <w:rsid w:val="00661988"/>
    <w:rsid w:val="006661F0"/>
    <w:rsid w:val="00670B5C"/>
    <w:rsid w:val="006715AF"/>
    <w:rsid w:val="006745D2"/>
    <w:rsid w:val="00674D09"/>
    <w:rsid w:val="00694E35"/>
    <w:rsid w:val="006956F9"/>
    <w:rsid w:val="006A0473"/>
    <w:rsid w:val="006A3E5A"/>
    <w:rsid w:val="006B293B"/>
    <w:rsid w:val="006B33C7"/>
    <w:rsid w:val="006B49D4"/>
    <w:rsid w:val="006C29A9"/>
    <w:rsid w:val="006C320F"/>
    <w:rsid w:val="006C688C"/>
    <w:rsid w:val="006C6B37"/>
    <w:rsid w:val="006D2E93"/>
    <w:rsid w:val="006D6D99"/>
    <w:rsid w:val="006E0580"/>
    <w:rsid w:val="006E08BF"/>
    <w:rsid w:val="006E3B6F"/>
    <w:rsid w:val="006E3F44"/>
    <w:rsid w:val="006E7E4E"/>
    <w:rsid w:val="006F4941"/>
    <w:rsid w:val="00700DEE"/>
    <w:rsid w:val="00701673"/>
    <w:rsid w:val="00703EF9"/>
    <w:rsid w:val="007059D6"/>
    <w:rsid w:val="00705E7A"/>
    <w:rsid w:val="00706BC5"/>
    <w:rsid w:val="00722F55"/>
    <w:rsid w:val="00723317"/>
    <w:rsid w:val="00730267"/>
    <w:rsid w:val="00730763"/>
    <w:rsid w:val="0073122F"/>
    <w:rsid w:val="00732B88"/>
    <w:rsid w:val="00737A99"/>
    <w:rsid w:val="00747526"/>
    <w:rsid w:val="007551BF"/>
    <w:rsid w:val="00756759"/>
    <w:rsid w:val="0075777A"/>
    <w:rsid w:val="00760D46"/>
    <w:rsid w:val="00765DE9"/>
    <w:rsid w:val="007670E0"/>
    <w:rsid w:val="00771314"/>
    <w:rsid w:val="007734EB"/>
    <w:rsid w:val="007769D8"/>
    <w:rsid w:val="00780549"/>
    <w:rsid w:val="00780FEE"/>
    <w:rsid w:val="00781E5D"/>
    <w:rsid w:val="00783DAC"/>
    <w:rsid w:val="00787FD1"/>
    <w:rsid w:val="007A0101"/>
    <w:rsid w:val="007A1FC7"/>
    <w:rsid w:val="007A29C9"/>
    <w:rsid w:val="007A4FA5"/>
    <w:rsid w:val="007B1925"/>
    <w:rsid w:val="007B29AE"/>
    <w:rsid w:val="007C1634"/>
    <w:rsid w:val="007C1CB0"/>
    <w:rsid w:val="007C6BDD"/>
    <w:rsid w:val="007D2B76"/>
    <w:rsid w:val="007D3A73"/>
    <w:rsid w:val="007D3C88"/>
    <w:rsid w:val="007E1DFA"/>
    <w:rsid w:val="007E3D82"/>
    <w:rsid w:val="007E54F1"/>
    <w:rsid w:val="007E575A"/>
    <w:rsid w:val="007E779F"/>
    <w:rsid w:val="007F1A3E"/>
    <w:rsid w:val="007F63B9"/>
    <w:rsid w:val="00805381"/>
    <w:rsid w:val="008062B0"/>
    <w:rsid w:val="008155AB"/>
    <w:rsid w:val="00817572"/>
    <w:rsid w:val="00817F5F"/>
    <w:rsid w:val="0082022D"/>
    <w:rsid w:val="00823833"/>
    <w:rsid w:val="00830181"/>
    <w:rsid w:val="00831463"/>
    <w:rsid w:val="00831BF9"/>
    <w:rsid w:val="008332F3"/>
    <w:rsid w:val="008346C0"/>
    <w:rsid w:val="008371B8"/>
    <w:rsid w:val="008404A2"/>
    <w:rsid w:val="00842824"/>
    <w:rsid w:val="00844379"/>
    <w:rsid w:val="008443CC"/>
    <w:rsid w:val="00845A53"/>
    <w:rsid w:val="00847652"/>
    <w:rsid w:val="008634A2"/>
    <w:rsid w:val="00867D1D"/>
    <w:rsid w:val="00872351"/>
    <w:rsid w:val="0088239B"/>
    <w:rsid w:val="00891356"/>
    <w:rsid w:val="0089150A"/>
    <w:rsid w:val="008A370D"/>
    <w:rsid w:val="008A3F83"/>
    <w:rsid w:val="008A5959"/>
    <w:rsid w:val="008B4982"/>
    <w:rsid w:val="008B58BD"/>
    <w:rsid w:val="008B6EED"/>
    <w:rsid w:val="008C0C02"/>
    <w:rsid w:val="008C40C7"/>
    <w:rsid w:val="008C5047"/>
    <w:rsid w:val="008C6108"/>
    <w:rsid w:val="008D32C6"/>
    <w:rsid w:val="008D7669"/>
    <w:rsid w:val="008E6873"/>
    <w:rsid w:val="008F03E5"/>
    <w:rsid w:val="008F23D0"/>
    <w:rsid w:val="008F25F5"/>
    <w:rsid w:val="008F5AFA"/>
    <w:rsid w:val="008F5FAB"/>
    <w:rsid w:val="0090202B"/>
    <w:rsid w:val="009027BA"/>
    <w:rsid w:val="0090502A"/>
    <w:rsid w:val="00907EB8"/>
    <w:rsid w:val="00911258"/>
    <w:rsid w:val="00922E1A"/>
    <w:rsid w:val="00923F52"/>
    <w:rsid w:val="0092517D"/>
    <w:rsid w:val="00925536"/>
    <w:rsid w:val="00926905"/>
    <w:rsid w:val="009269D8"/>
    <w:rsid w:val="00930B4F"/>
    <w:rsid w:val="00930DE3"/>
    <w:rsid w:val="00933E23"/>
    <w:rsid w:val="00934458"/>
    <w:rsid w:val="0093450F"/>
    <w:rsid w:val="009371AE"/>
    <w:rsid w:val="009414CF"/>
    <w:rsid w:val="00942180"/>
    <w:rsid w:val="00942A5B"/>
    <w:rsid w:val="00945306"/>
    <w:rsid w:val="0094645D"/>
    <w:rsid w:val="00946D96"/>
    <w:rsid w:val="009474ED"/>
    <w:rsid w:val="00947C54"/>
    <w:rsid w:val="00950E44"/>
    <w:rsid w:val="009541AB"/>
    <w:rsid w:val="009567A7"/>
    <w:rsid w:val="009567AB"/>
    <w:rsid w:val="0096033E"/>
    <w:rsid w:val="00960AF1"/>
    <w:rsid w:val="00962BAC"/>
    <w:rsid w:val="009731F8"/>
    <w:rsid w:val="00976942"/>
    <w:rsid w:val="00981874"/>
    <w:rsid w:val="009830A0"/>
    <w:rsid w:val="00985390"/>
    <w:rsid w:val="0099071C"/>
    <w:rsid w:val="009922B2"/>
    <w:rsid w:val="009938B7"/>
    <w:rsid w:val="00995357"/>
    <w:rsid w:val="00995441"/>
    <w:rsid w:val="0099666B"/>
    <w:rsid w:val="009A3A26"/>
    <w:rsid w:val="009B3230"/>
    <w:rsid w:val="009B4151"/>
    <w:rsid w:val="009B4C8A"/>
    <w:rsid w:val="009C2F97"/>
    <w:rsid w:val="009D08C9"/>
    <w:rsid w:val="009E52F5"/>
    <w:rsid w:val="009E5991"/>
    <w:rsid w:val="009F1D94"/>
    <w:rsid w:val="009F27B8"/>
    <w:rsid w:val="009F6062"/>
    <w:rsid w:val="009F7280"/>
    <w:rsid w:val="00A07C2C"/>
    <w:rsid w:val="00A16B1E"/>
    <w:rsid w:val="00A1797F"/>
    <w:rsid w:val="00A202A3"/>
    <w:rsid w:val="00A21691"/>
    <w:rsid w:val="00A24F20"/>
    <w:rsid w:val="00A31559"/>
    <w:rsid w:val="00A37647"/>
    <w:rsid w:val="00A45878"/>
    <w:rsid w:val="00A54FDE"/>
    <w:rsid w:val="00A5521F"/>
    <w:rsid w:val="00A55A60"/>
    <w:rsid w:val="00A6018B"/>
    <w:rsid w:val="00A62E34"/>
    <w:rsid w:val="00A62F88"/>
    <w:rsid w:val="00A74D5A"/>
    <w:rsid w:val="00A9630F"/>
    <w:rsid w:val="00A9789F"/>
    <w:rsid w:val="00AA012F"/>
    <w:rsid w:val="00AA622E"/>
    <w:rsid w:val="00AB41FF"/>
    <w:rsid w:val="00AB46DE"/>
    <w:rsid w:val="00AB6915"/>
    <w:rsid w:val="00AC04FB"/>
    <w:rsid w:val="00AC0D5E"/>
    <w:rsid w:val="00AC717B"/>
    <w:rsid w:val="00AC7340"/>
    <w:rsid w:val="00AD0969"/>
    <w:rsid w:val="00AD66D5"/>
    <w:rsid w:val="00AE3265"/>
    <w:rsid w:val="00AF04E7"/>
    <w:rsid w:val="00AF0A00"/>
    <w:rsid w:val="00AF616E"/>
    <w:rsid w:val="00B03144"/>
    <w:rsid w:val="00B03CB8"/>
    <w:rsid w:val="00B1272B"/>
    <w:rsid w:val="00B1347A"/>
    <w:rsid w:val="00B142EF"/>
    <w:rsid w:val="00B174A7"/>
    <w:rsid w:val="00B2040D"/>
    <w:rsid w:val="00B22B90"/>
    <w:rsid w:val="00B24B53"/>
    <w:rsid w:val="00B31E1F"/>
    <w:rsid w:val="00B33616"/>
    <w:rsid w:val="00B34D15"/>
    <w:rsid w:val="00B45382"/>
    <w:rsid w:val="00B457EE"/>
    <w:rsid w:val="00B560FA"/>
    <w:rsid w:val="00B61249"/>
    <w:rsid w:val="00B62158"/>
    <w:rsid w:val="00B64177"/>
    <w:rsid w:val="00B656BA"/>
    <w:rsid w:val="00B662BF"/>
    <w:rsid w:val="00B71FA9"/>
    <w:rsid w:val="00B815A7"/>
    <w:rsid w:val="00B91CA4"/>
    <w:rsid w:val="00B93112"/>
    <w:rsid w:val="00BA0237"/>
    <w:rsid w:val="00BA4D63"/>
    <w:rsid w:val="00BA6A03"/>
    <w:rsid w:val="00BA7C36"/>
    <w:rsid w:val="00BB1B32"/>
    <w:rsid w:val="00BB67C8"/>
    <w:rsid w:val="00BB6956"/>
    <w:rsid w:val="00BC048C"/>
    <w:rsid w:val="00BC0670"/>
    <w:rsid w:val="00BC2389"/>
    <w:rsid w:val="00BC6034"/>
    <w:rsid w:val="00BD150B"/>
    <w:rsid w:val="00BD212F"/>
    <w:rsid w:val="00BD5BC1"/>
    <w:rsid w:val="00BD603B"/>
    <w:rsid w:val="00BE15E4"/>
    <w:rsid w:val="00BE74B8"/>
    <w:rsid w:val="00BF6B07"/>
    <w:rsid w:val="00C05BCD"/>
    <w:rsid w:val="00C07B53"/>
    <w:rsid w:val="00C11BD2"/>
    <w:rsid w:val="00C13B69"/>
    <w:rsid w:val="00C15E3B"/>
    <w:rsid w:val="00C20CA0"/>
    <w:rsid w:val="00C2355D"/>
    <w:rsid w:val="00C23B1F"/>
    <w:rsid w:val="00C34C08"/>
    <w:rsid w:val="00C36BA6"/>
    <w:rsid w:val="00C37DE0"/>
    <w:rsid w:val="00C402F7"/>
    <w:rsid w:val="00C4304D"/>
    <w:rsid w:val="00C45124"/>
    <w:rsid w:val="00C45FE1"/>
    <w:rsid w:val="00C467DB"/>
    <w:rsid w:val="00C54670"/>
    <w:rsid w:val="00C6094C"/>
    <w:rsid w:val="00C70D34"/>
    <w:rsid w:val="00C722EA"/>
    <w:rsid w:val="00C74CEA"/>
    <w:rsid w:val="00C800F9"/>
    <w:rsid w:val="00C83E93"/>
    <w:rsid w:val="00C84C55"/>
    <w:rsid w:val="00C87D43"/>
    <w:rsid w:val="00C9780B"/>
    <w:rsid w:val="00CA0D8E"/>
    <w:rsid w:val="00CA287A"/>
    <w:rsid w:val="00CA3086"/>
    <w:rsid w:val="00CA3261"/>
    <w:rsid w:val="00CA752C"/>
    <w:rsid w:val="00CA7C52"/>
    <w:rsid w:val="00CC2CDE"/>
    <w:rsid w:val="00CC55CD"/>
    <w:rsid w:val="00CC6A4A"/>
    <w:rsid w:val="00CD2BB9"/>
    <w:rsid w:val="00CD60D2"/>
    <w:rsid w:val="00CE1188"/>
    <w:rsid w:val="00CE1AE5"/>
    <w:rsid w:val="00CF4308"/>
    <w:rsid w:val="00CF66E7"/>
    <w:rsid w:val="00D10DC6"/>
    <w:rsid w:val="00D1534E"/>
    <w:rsid w:val="00D1546E"/>
    <w:rsid w:val="00D24AB5"/>
    <w:rsid w:val="00D27CF8"/>
    <w:rsid w:val="00D3233A"/>
    <w:rsid w:val="00D35213"/>
    <w:rsid w:val="00D35596"/>
    <w:rsid w:val="00D41084"/>
    <w:rsid w:val="00D4683E"/>
    <w:rsid w:val="00D54AC1"/>
    <w:rsid w:val="00D57731"/>
    <w:rsid w:val="00D57AC9"/>
    <w:rsid w:val="00D6476D"/>
    <w:rsid w:val="00D66644"/>
    <w:rsid w:val="00D81554"/>
    <w:rsid w:val="00D828A4"/>
    <w:rsid w:val="00D85334"/>
    <w:rsid w:val="00D85B9F"/>
    <w:rsid w:val="00D9036B"/>
    <w:rsid w:val="00D91D57"/>
    <w:rsid w:val="00D9283B"/>
    <w:rsid w:val="00D934A7"/>
    <w:rsid w:val="00D95FA5"/>
    <w:rsid w:val="00D972D5"/>
    <w:rsid w:val="00DA7A05"/>
    <w:rsid w:val="00DB15D5"/>
    <w:rsid w:val="00DB269E"/>
    <w:rsid w:val="00DB5E3A"/>
    <w:rsid w:val="00DB6C16"/>
    <w:rsid w:val="00DC01FC"/>
    <w:rsid w:val="00DC2B5A"/>
    <w:rsid w:val="00DC3710"/>
    <w:rsid w:val="00DC4BA8"/>
    <w:rsid w:val="00DC6CB6"/>
    <w:rsid w:val="00DC7558"/>
    <w:rsid w:val="00DD0728"/>
    <w:rsid w:val="00DD0EE1"/>
    <w:rsid w:val="00DD20B6"/>
    <w:rsid w:val="00DD240D"/>
    <w:rsid w:val="00DD44DD"/>
    <w:rsid w:val="00DD55C0"/>
    <w:rsid w:val="00DD5917"/>
    <w:rsid w:val="00DD69DE"/>
    <w:rsid w:val="00DE6158"/>
    <w:rsid w:val="00DF2832"/>
    <w:rsid w:val="00DF512D"/>
    <w:rsid w:val="00E10CD6"/>
    <w:rsid w:val="00E10E9A"/>
    <w:rsid w:val="00E12578"/>
    <w:rsid w:val="00E12819"/>
    <w:rsid w:val="00E13E12"/>
    <w:rsid w:val="00E16AB6"/>
    <w:rsid w:val="00E17582"/>
    <w:rsid w:val="00E23D90"/>
    <w:rsid w:val="00E35181"/>
    <w:rsid w:val="00E37BE6"/>
    <w:rsid w:val="00E4417A"/>
    <w:rsid w:val="00E471D2"/>
    <w:rsid w:val="00E5110E"/>
    <w:rsid w:val="00E51119"/>
    <w:rsid w:val="00E51D2D"/>
    <w:rsid w:val="00E53D37"/>
    <w:rsid w:val="00E54873"/>
    <w:rsid w:val="00E548E3"/>
    <w:rsid w:val="00E5648D"/>
    <w:rsid w:val="00E56734"/>
    <w:rsid w:val="00E608F9"/>
    <w:rsid w:val="00E65E97"/>
    <w:rsid w:val="00E738AE"/>
    <w:rsid w:val="00E81D9E"/>
    <w:rsid w:val="00E85B2B"/>
    <w:rsid w:val="00E86D31"/>
    <w:rsid w:val="00E93471"/>
    <w:rsid w:val="00E93482"/>
    <w:rsid w:val="00EA02D9"/>
    <w:rsid w:val="00EA09D0"/>
    <w:rsid w:val="00EA206F"/>
    <w:rsid w:val="00EA54D7"/>
    <w:rsid w:val="00EB081A"/>
    <w:rsid w:val="00EB207E"/>
    <w:rsid w:val="00EB229C"/>
    <w:rsid w:val="00EB36FA"/>
    <w:rsid w:val="00EB5008"/>
    <w:rsid w:val="00EC09E7"/>
    <w:rsid w:val="00EC510F"/>
    <w:rsid w:val="00ED0CBD"/>
    <w:rsid w:val="00EE08BB"/>
    <w:rsid w:val="00EE0C31"/>
    <w:rsid w:val="00EE1DEA"/>
    <w:rsid w:val="00EE2996"/>
    <w:rsid w:val="00EE4AEA"/>
    <w:rsid w:val="00EE5C72"/>
    <w:rsid w:val="00EE6966"/>
    <w:rsid w:val="00EF6E5C"/>
    <w:rsid w:val="00F01E1D"/>
    <w:rsid w:val="00F0676E"/>
    <w:rsid w:val="00F10F1B"/>
    <w:rsid w:val="00F13FA4"/>
    <w:rsid w:val="00F1475B"/>
    <w:rsid w:val="00F167F6"/>
    <w:rsid w:val="00F17F7A"/>
    <w:rsid w:val="00F20022"/>
    <w:rsid w:val="00F234DE"/>
    <w:rsid w:val="00F23A12"/>
    <w:rsid w:val="00F25F27"/>
    <w:rsid w:val="00F26E64"/>
    <w:rsid w:val="00F27B26"/>
    <w:rsid w:val="00F42C8A"/>
    <w:rsid w:val="00F53D2D"/>
    <w:rsid w:val="00F5498A"/>
    <w:rsid w:val="00F57A7D"/>
    <w:rsid w:val="00F70F45"/>
    <w:rsid w:val="00F713DC"/>
    <w:rsid w:val="00F737FF"/>
    <w:rsid w:val="00F73A5B"/>
    <w:rsid w:val="00F8172E"/>
    <w:rsid w:val="00F86F5D"/>
    <w:rsid w:val="00F9095C"/>
    <w:rsid w:val="00F94399"/>
    <w:rsid w:val="00F964F9"/>
    <w:rsid w:val="00F96B70"/>
    <w:rsid w:val="00F97535"/>
    <w:rsid w:val="00FA079E"/>
    <w:rsid w:val="00FA4808"/>
    <w:rsid w:val="00FA5AE8"/>
    <w:rsid w:val="00FA5B16"/>
    <w:rsid w:val="00FB030A"/>
    <w:rsid w:val="00FB0586"/>
    <w:rsid w:val="00FB432E"/>
    <w:rsid w:val="00FB5FA9"/>
    <w:rsid w:val="00FB6A3E"/>
    <w:rsid w:val="00FD0ECE"/>
    <w:rsid w:val="00FE0A34"/>
    <w:rsid w:val="00FE4967"/>
    <w:rsid w:val="00FF08F1"/>
    <w:rsid w:val="00FF27F4"/>
    <w:rsid w:val="00FF69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2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97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A3"/>
    <w:pPr>
      <w:ind w:left="720"/>
      <w:contextualSpacing/>
    </w:pPr>
  </w:style>
  <w:style w:type="paragraph" w:styleId="FootnoteText">
    <w:name w:val="footnote text"/>
    <w:basedOn w:val="Normal"/>
    <w:link w:val="FootnoteTextChar"/>
    <w:uiPriority w:val="99"/>
    <w:unhideWhenUsed/>
    <w:rsid w:val="00064095"/>
    <w:pPr>
      <w:spacing w:after="0" w:line="240" w:lineRule="auto"/>
    </w:pPr>
    <w:rPr>
      <w:sz w:val="20"/>
      <w:szCs w:val="20"/>
    </w:rPr>
  </w:style>
  <w:style w:type="character" w:customStyle="1" w:styleId="FootnoteTextChar">
    <w:name w:val="Footnote Text Char"/>
    <w:basedOn w:val="DefaultParagraphFont"/>
    <w:link w:val="FootnoteText"/>
    <w:uiPriority w:val="99"/>
    <w:rsid w:val="00064095"/>
    <w:rPr>
      <w:sz w:val="20"/>
      <w:szCs w:val="20"/>
    </w:rPr>
  </w:style>
  <w:style w:type="character" w:styleId="FootnoteReference">
    <w:name w:val="footnote reference"/>
    <w:basedOn w:val="DefaultParagraphFont"/>
    <w:uiPriority w:val="99"/>
    <w:unhideWhenUsed/>
    <w:rsid w:val="00064095"/>
    <w:rPr>
      <w:vertAlign w:val="superscript"/>
    </w:rPr>
  </w:style>
  <w:style w:type="paragraph" w:styleId="Header">
    <w:name w:val="header"/>
    <w:basedOn w:val="Normal"/>
    <w:link w:val="HeaderChar"/>
    <w:uiPriority w:val="99"/>
    <w:unhideWhenUsed/>
    <w:rsid w:val="00C2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F"/>
  </w:style>
  <w:style w:type="paragraph" w:styleId="Footer">
    <w:name w:val="footer"/>
    <w:basedOn w:val="Normal"/>
    <w:link w:val="FooterChar"/>
    <w:uiPriority w:val="99"/>
    <w:unhideWhenUsed/>
    <w:rsid w:val="00C2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F"/>
  </w:style>
  <w:style w:type="paragraph" w:styleId="BalloonText">
    <w:name w:val="Balloon Text"/>
    <w:basedOn w:val="Normal"/>
    <w:link w:val="BalloonTextChar"/>
    <w:uiPriority w:val="99"/>
    <w:semiHidden/>
    <w:unhideWhenUsed/>
    <w:rsid w:val="0070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EE"/>
    <w:rPr>
      <w:rFonts w:ascii="Tahoma" w:hAnsi="Tahoma" w:cs="Tahoma"/>
      <w:sz w:val="16"/>
      <w:szCs w:val="16"/>
    </w:rPr>
  </w:style>
  <w:style w:type="character" w:styleId="Hyperlink">
    <w:name w:val="Hyperlink"/>
    <w:basedOn w:val="DefaultParagraphFont"/>
    <w:unhideWhenUsed/>
    <w:rsid w:val="00421266"/>
    <w:rPr>
      <w:color w:val="0000FF" w:themeColor="hyperlink"/>
      <w:u w:val="single"/>
    </w:rPr>
  </w:style>
  <w:style w:type="table" w:styleId="TableGrid">
    <w:name w:val="Table Grid"/>
    <w:basedOn w:val="TableNormal"/>
    <w:uiPriority w:val="59"/>
    <w:rsid w:val="00DD07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72D5"/>
    <w:rPr>
      <w:rFonts w:ascii="Times New Roman" w:eastAsia="Times New Roman" w:hAnsi="Times New Roman" w:cs="Times New Roman"/>
      <w:b/>
      <w:bCs/>
      <w:sz w:val="27"/>
      <w:szCs w:val="27"/>
    </w:rPr>
  </w:style>
  <w:style w:type="character" w:customStyle="1" w:styleId="sub-title-inner">
    <w:name w:val="sub-title-inner"/>
    <w:basedOn w:val="DefaultParagraphFont"/>
    <w:rsid w:val="00D972D5"/>
  </w:style>
  <w:style w:type="character" w:customStyle="1" w:styleId="s18">
    <w:name w:val="s18"/>
    <w:basedOn w:val="DefaultParagraphFont"/>
    <w:rsid w:val="00D972D5"/>
  </w:style>
  <w:style w:type="character" w:customStyle="1" w:styleId="s20">
    <w:name w:val="s20"/>
    <w:basedOn w:val="DefaultParagraphFont"/>
    <w:rsid w:val="00D972D5"/>
  </w:style>
  <w:style w:type="character" w:customStyle="1" w:styleId="s47">
    <w:name w:val="s47"/>
    <w:basedOn w:val="DefaultParagraphFont"/>
    <w:rsid w:val="00D972D5"/>
  </w:style>
  <w:style w:type="character" w:customStyle="1" w:styleId="s48">
    <w:name w:val="s48"/>
    <w:basedOn w:val="DefaultParagraphFont"/>
    <w:rsid w:val="00D972D5"/>
  </w:style>
  <w:style w:type="paragraph" w:styleId="NoSpacing">
    <w:name w:val="No Spacing"/>
    <w:uiPriority w:val="1"/>
    <w:rsid w:val="00C6094C"/>
    <w:pPr>
      <w:spacing w:after="0" w:line="240" w:lineRule="auto"/>
    </w:pPr>
  </w:style>
  <w:style w:type="paragraph" w:customStyle="1" w:styleId="Afiliasi">
    <w:name w:val="Afiliasi"/>
    <w:basedOn w:val="Normal"/>
    <w:qFormat/>
    <w:rsid w:val="004F03FE"/>
    <w:pPr>
      <w:spacing w:before="40" w:after="40" w:line="240" w:lineRule="auto"/>
      <w:contextualSpacing/>
      <w:jc w:val="center"/>
    </w:pPr>
    <w:rPr>
      <w:rFonts w:ascii="Times New Roman" w:eastAsia="SimSun" w:hAnsi="Times New Roman" w:cs="Times New Roman"/>
      <w:noProof/>
      <w:sz w:val="20"/>
      <w:szCs w:val="20"/>
      <w:lang w:eastAsia="en-US"/>
    </w:rPr>
  </w:style>
  <w:style w:type="character" w:customStyle="1" w:styleId="tlid-translation">
    <w:name w:val="tlid-translation"/>
    <w:basedOn w:val="DefaultParagraphFont"/>
    <w:rsid w:val="00BB67C8"/>
  </w:style>
  <w:style w:type="paragraph" w:styleId="HTMLPreformatted">
    <w:name w:val="HTML Preformatted"/>
    <w:basedOn w:val="Normal"/>
    <w:link w:val="HTMLPreformattedChar"/>
    <w:uiPriority w:val="99"/>
    <w:semiHidden/>
    <w:unhideWhenUsed/>
    <w:rsid w:val="00CE1A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1AE5"/>
    <w:rPr>
      <w:rFonts w:ascii="Consolas" w:hAnsi="Consolas"/>
      <w:sz w:val="20"/>
      <w:szCs w:val="20"/>
    </w:rPr>
  </w:style>
  <w:style w:type="paragraph" w:customStyle="1" w:styleId="Stylepapertitle14pt">
    <w:name w:val="Style paper title + 14 pt"/>
    <w:basedOn w:val="Normal"/>
    <w:rsid w:val="000E7CB2"/>
    <w:pPr>
      <w:spacing w:after="120" w:line="240" w:lineRule="auto"/>
      <w:jc w:val="center"/>
    </w:pPr>
    <w:rPr>
      <w:rFonts w:ascii="Times New Roman" w:eastAsia="MS Mincho" w:hAnsi="Times New Roman" w:cs="Times New Roman"/>
      <w:noProof/>
      <w:sz w:val="24"/>
      <w:szCs w:val="48"/>
      <w:lang w:val="en-US" w:eastAsia="en-US"/>
    </w:rPr>
  </w:style>
  <w:style w:type="character" w:customStyle="1" w:styleId="Heading1Char">
    <w:name w:val="Heading 1 Char"/>
    <w:basedOn w:val="DefaultParagraphFont"/>
    <w:link w:val="Heading1"/>
    <w:uiPriority w:val="9"/>
    <w:rsid w:val="00EE299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287928"/>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287928"/>
    <w:rPr>
      <w:rFonts w:ascii="Times New Roman" w:eastAsia="SimSun" w:hAnsi="Times New Roman" w:cs="Times New Roman"/>
      <w:spacing w:val="-1"/>
      <w:sz w:val="20"/>
      <w:szCs w:val="20"/>
      <w:lang w:val="en-US" w:eastAsia="en-US"/>
    </w:rPr>
  </w:style>
  <w:style w:type="paragraph" w:styleId="NormalWeb">
    <w:name w:val="Normal (Web)"/>
    <w:basedOn w:val="Normal"/>
    <w:uiPriority w:val="99"/>
    <w:semiHidden/>
    <w:unhideWhenUsed/>
    <w:rsid w:val="00E738AE"/>
    <w:rPr>
      <w:rFonts w:ascii="Times New Roman" w:hAnsi="Times New Roman" w:cs="Times New Roman"/>
      <w:sz w:val="24"/>
      <w:szCs w:val="24"/>
    </w:rPr>
  </w:style>
  <w:style w:type="paragraph" w:customStyle="1" w:styleId="tablecolhead">
    <w:name w:val="table col head"/>
    <w:basedOn w:val="Normal"/>
    <w:rsid w:val="00FB6A3E"/>
    <w:pPr>
      <w:spacing w:after="0" w:line="240" w:lineRule="auto"/>
      <w:jc w:val="center"/>
    </w:pPr>
    <w:rPr>
      <w:rFonts w:ascii="Times New Roman" w:eastAsia="SimSun" w:hAnsi="Times New Roman" w:cs="Times New Roman"/>
      <w:b/>
      <w:bCs/>
      <w:sz w:val="16"/>
      <w:szCs w:val="16"/>
      <w:lang w:val="en-US" w:eastAsia="en-US"/>
    </w:rPr>
  </w:style>
  <w:style w:type="paragraph" w:customStyle="1" w:styleId="tablecolsubhead">
    <w:name w:val="table col subhead"/>
    <w:basedOn w:val="tablecolhead"/>
    <w:rsid w:val="00FB6A3E"/>
    <w:rPr>
      <w:i/>
      <w:iCs/>
      <w:sz w:val="15"/>
      <w:szCs w:val="15"/>
    </w:rPr>
  </w:style>
  <w:style w:type="paragraph" w:customStyle="1" w:styleId="tablecopy">
    <w:name w:val="table copy"/>
    <w:rsid w:val="00FB6A3E"/>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FB6A3E"/>
    <w:pPr>
      <w:spacing w:before="60" w:after="30" w:line="240" w:lineRule="auto"/>
      <w:jc w:val="right"/>
    </w:pPr>
    <w:rPr>
      <w:rFonts w:ascii="Times New Roman" w:eastAsia="SimSun" w:hAnsi="Times New Roman" w:cs="Times New Roman"/>
      <w:sz w:val="12"/>
      <w:szCs w:val="1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2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97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A3"/>
    <w:pPr>
      <w:ind w:left="720"/>
      <w:contextualSpacing/>
    </w:pPr>
  </w:style>
  <w:style w:type="paragraph" w:styleId="FootnoteText">
    <w:name w:val="footnote text"/>
    <w:basedOn w:val="Normal"/>
    <w:link w:val="FootnoteTextChar"/>
    <w:uiPriority w:val="99"/>
    <w:unhideWhenUsed/>
    <w:rsid w:val="00064095"/>
    <w:pPr>
      <w:spacing w:after="0" w:line="240" w:lineRule="auto"/>
    </w:pPr>
    <w:rPr>
      <w:sz w:val="20"/>
      <w:szCs w:val="20"/>
    </w:rPr>
  </w:style>
  <w:style w:type="character" w:customStyle="1" w:styleId="FootnoteTextChar">
    <w:name w:val="Footnote Text Char"/>
    <w:basedOn w:val="DefaultParagraphFont"/>
    <w:link w:val="FootnoteText"/>
    <w:uiPriority w:val="99"/>
    <w:rsid w:val="00064095"/>
    <w:rPr>
      <w:sz w:val="20"/>
      <w:szCs w:val="20"/>
    </w:rPr>
  </w:style>
  <w:style w:type="character" w:styleId="FootnoteReference">
    <w:name w:val="footnote reference"/>
    <w:basedOn w:val="DefaultParagraphFont"/>
    <w:uiPriority w:val="99"/>
    <w:unhideWhenUsed/>
    <w:rsid w:val="00064095"/>
    <w:rPr>
      <w:vertAlign w:val="superscript"/>
    </w:rPr>
  </w:style>
  <w:style w:type="paragraph" w:styleId="Header">
    <w:name w:val="header"/>
    <w:basedOn w:val="Normal"/>
    <w:link w:val="HeaderChar"/>
    <w:uiPriority w:val="99"/>
    <w:unhideWhenUsed/>
    <w:rsid w:val="00C2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F"/>
  </w:style>
  <w:style w:type="paragraph" w:styleId="Footer">
    <w:name w:val="footer"/>
    <w:basedOn w:val="Normal"/>
    <w:link w:val="FooterChar"/>
    <w:uiPriority w:val="99"/>
    <w:unhideWhenUsed/>
    <w:rsid w:val="00C2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F"/>
  </w:style>
  <w:style w:type="paragraph" w:styleId="BalloonText">
    <w:name w:val="Balloon Text"/>
    <w:basedOn w:val="Normal"/>
    <w:link w:val="BalloonTextChar"/>
    <w:uiPriority w:val="99"/>
    <w:semiHidden/>
    <w:unhideWhenUsed/>
    <w:rsid w:val="0070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EE"/>
    <w:rPr>
      <w:rFonts w:ascii="Tahoma" w:hAnsi="Tahoma" w:cs="Tahoma"/>
      <w:sz w:val="16"/>
      <w:szCs w:val="16"/>
    </w:rPr>
  </w:style>
  <w:style w:type="character" w:styleId="Hyperlink">
    <w:name w:val="Hyperlink"/>
    <w:basedOn w:val="DefaultParagraphFont"/>
    <w:unhideWhenUsed/>
    <w:rsid w:val="00421266"/>
    <w:rPr>
      <w:color w:val="0000FF" w:themeColor="hyperlink"/>
      <w:u w:val="single"/>
    </w:rPr>
  </w:style>
  <w:style w:type="table" w:styleId="TableGrid">
    <w:name w:val="Table Grid"/>
    <w:basedOn w:val="TableNormal"/>
    <w:uiPriority w:val="59"/>
    <w:rsid w:val="00DD07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72D5"/>
    <w:rPr>
      <w:rFonts w:ascii="Times New Roman" w:eastAsia="Times New Roman" w:hAnsi="Times New Roman" w:cs="Times New Roman"/>
      <w:b/>
      <w:bCs/>
      <w:sz w:val="27"/>
      <w:szCs w:val="27"/>
    </w:rPr>
  </w:style>
  <w:style w:type="character" w:customStyle="1" w:styleId="sub-title-inner">
    <w:name w:val="sub-title-inner"/>
    <w:basedOn w:val="DefaultParagraphFont"/>
    <w:rsid w:val="00D972D5"/>
  </w:style>
  <w:style w:type="character" w:customStyle="1" w:styleId="s18">
    <w:name w:val="s18"/>
    <w:basedOn w:val="DefaultParagraphFont"/>
    <w:rsid w:val="00D972D5"/>
  </w:style>
  <w:style w:type="character" w:customStyle="1" w:styleId="s20">
    <w:name w:val="s20"/>
    <w:basedOn w:val="DefaultParagraphFont"/>
    <w:rsid w:val="00D972D5"/>
  </w:style>
  <w:style w:type="character" w:customStyle="1" w:styleId="s47">
    <w:name w:val="s47"/>
    <w:basedOn w:val="DefaultParagraphFont"/>
    <w:rsid w:val="00D972D5"/>
  </w:style>
  <w:style w:type="character" w:customStyle="1" w:styleId="s48">
    <w:name w:val="s48"/>
    <w:basedOn w:val="DefaultParagraphFont"/>
    <w:rsid w:val="00D972D5"/>
  </w:style>
  <w:style w:type="paragraph" w:styleId="NoSpacing">
    <w:name w:val="No Spacing"/>
    <w:uiPriority w:val="1"/>
    <w:rsid w:val="00C6094C"/>
    <w:pPr>
      <w:spacing w:after="0" w:line="240" w:lineRule="auto"/>
    </w:pPr>
  </w:style>
  <w:style w:type="paragraph" w:customStyle="1" w:styleId="Afiliasi">
    <w:name w:val="Afiliasi"/>
    <w:basedOn w:val="Normal"/>
    <w:qFormat/>
    <w:rsid w:val="004F03FE"/>
    <w:pPr>
      <w:spacing w:before="40" w:after="40" w:line="240" w:lineRule="auto"/>
      <w:contextualSpacing/>
      <w:jc w:val="center"/>
    </w:pPr>
    <w:rPr>
      <w:rFonts w:ascii="Times New Roman" w:eastAsia="SimSun" w:hAnsi="Times New Roman" w:cs="Times New Roman"/>
      <w:noProof/>
      <w:sz w:val="20"/>
      <w:szCs w:val="20"/>
      <w:lang w:eastAsia="en-US"/>
    </w:rPr>
  </w:style>
  <w:style w:type="character" w:customStyle="1" w:styleId="tlid-translation">
    <w:name w:val="tlid-translation"/>
    <w:basedOn w:val="DefaultParagraphFont"/>
    <w:rsid w:val="00BB67C8"/>
  </w:style>
  <w:style w:type="paragraph" w:styleId="HTMLPreformatted">
    <w:name w:val="HTML Preformatted"/>
    <w:basedOn w:val="Normal"/>
    <w:link w:val="HTMLPreformattedChar"/>
    <w:uiPriority w:val="99"/>
    <w:semiHidden/>
    <w:unhideWhenUsed/>
    <w:rsid w:val="00CE1A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1AE5"/>
    <w:rPr>
      <w:rFonts w:ascii="Consolas" w:hAnsi="Consolas"/>
      <w:sz w:val="20"/>
      <w:szCs w:val="20"/>
    </w:rPr>
  </w:style>
  <w:style w:type="paragraph" w:customStyle="1" w:styleId="Stylepapertitle14pt">
    <w:name w:val="Style paper title + 14 pt"/>
    <w:basedOn w:val="Normal"/>
    <w:rsid w:val="000E7CB2"/>
    <w:pPr>
      <w:spacing w:after="120" w:line="240" w:lineRule="auto"/>
      <w:jc w:val="center"/>
    </w:pPr>
    <w:rPr>
      <w:rFonts w:ascii="Times New Roman" w:eastAsia="MS Mincho" w:hAnsi="Times New Roman" w:cs="Times New Roman"/>
      <w:noProof/>
      <w:sz w:val="24"/>
      <w:szCs w:val="48"/>
      <w:lang w:val="en-US" w:eastAsia="en-US"/>
    </w:rPr>
  </w:style>
  <w:style w:type="character" w:customStyle="1" w:styleId="Heading1Char">
    <w:name w:val="Heading 1 Char"/>
    <w:basedOn w:val="DefaultParagraphFont"/>
    <w:link w:val="Heading1"/>
    <w:uiPriority w:val="9"/>
    <w:rsid w:val="00EE299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287928"/>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287928"/>
    <w:rPr>
      <w:rFonts w:ascii="Times New Roman" w:eastAsia="SimSun" w:hAnsi="Times New Roman" w:cs="Times New Roman"/>
      <w:spacing w:val="-1"/>
      <w:sz w:val="20"/>
      <w:szCs w:val="20"/>
      <w:lang w:val="en-US" w:eastAsia="en-US"/>
    </w:rPr>
  </w:style>
  <w:style w:type="paragraph" w:styleId="NormalWeb">
    <w:name w:val="Normal (Web)"/>
    <w:basedOn w:val="Normal"/>
    <w:uiPriority w:val="99"/>
    <w:semiHidden/>
    <w:unhideWhenUsed/>
    <w:rsid w:val="00E738AE"/>
    <w:rPr>
      <w:rFonts w:ascii="Times New Roman" w:hAnsi="Times New Roman" w:cs="Times New Roman"/>
      <w:sz w:val="24"/>
      <w:szCs w:val="24"/>
    </w:rPr>
  </w:style>
  <w:style w:type="paragraph" w:customStyle="1" w:styleId="tablecolhead">
    <w:name w:val="table col head"/>
    <w:basedOn w:val="Normal"/>
    <w:rsid w:val="00FB6A3E"/>
    <w:pPr>
      <w:spacing w:after="0" w:line="240" w:lineRule="auto"/>
      <w:jc w:val="center"/>
    </w:pPr>
    <w:rPr>
      <w:rFonts w:ascii="Times New Roman" w:eastAsia="SimSun" w:hAnsi="Times New Roman" w:cs="Times New Roman"/>
      <w:b/>
      <w:bCs/>
      <w:sz w:val="16"/>
      <w:szCs w:val="16"/>
      <w:lang w:val="en-US" w:eastAsia="en-US"/>
    </w:rPr>
  </w:style>
  <w:style w:type="paragraph" w:customStyle="1" w:styleId="tablecolsubhead">
    <w:name w:val="table col subhead"/>
    <w:basedOn w:val="tablecolhead"/>
    <w:rsid w:val="00FB6A3E"/>
    <w:rPr>
      <w:i/>
      <w:iCs/>
      <w:sz w:val="15"/>
      <w:szCs w:val="15"/>
    </w:rPr>
  </w:style>
  <w:style w:type="paragraph" w:customStyle="1" w:styleId="tablecopy">
    <w:name w:val="table copy"/>
    <w:rsid w:val="00FB6A3E"/>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FB6A3E"/>
    <w:pPr>
      <w:spacing w:before="60" w:after="30" w:line="240" w:lineRule="auto"/>
      <w:jc w:val="right"/>
    </w:pPr>
    <w:rPr>
      <w:rFonts w:ascii="Times New Roman" w:eastAsia="SimSun" w:hAnsi="Times New Roman" w:cs="Times New Roman"/>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42237">
      <w:bodyDiv w:val="1"/>
      <w:marLeft w:val="0"/>
      <w:marRight w:val="0"/>
      <w:marTop w:val="0"/>
      <w:marBottom w:val="0"/>
      <w:divBdr>
        <w:top w:val="none" w:sz="0" w:space="0" w:color="auto"/>
        <w:left w:val="none" w:sz="0" w:space="0" w:color="auto"/>
        <w:bottom w:val="none" w:sz="0" w:space="0" w:color="auto"/>
        <w:right w:val="none" w:sz="0" w:space="0" w:color="auto"/>
      </w:divBdr>
    </w:div>
    <w:div w:id="848641191">
      <w:bodyDiv w:val="1"/>
      <w:marLeft w:val="0"/>
      <w:marRight w:val="0"/>
      <w:marTop w:val="0"/>
      <w:marBottom w:val="0"/>
      <w:divBdr>
        <w:top w:val="none" w:sz="0" w:space="0" w:color="auto"/>
        <w:left w:val="none" w:sz="0" w:space="0" w:color="auto"/>
        <w:bottom w:val="none" w:sz="0" w:space="0" w:color="auto"/>
        <w:right w:val="none" w:sz="0" w:space="0" w:color="auto"/>
      </w:divBdr>
    </w:div>
    <w:div w:id="919295650">
      <w:bodyDiv w:val="1"/>
      <w:marLeft w:val="0"/>
      <w:marRight w:val="0"/>
      <w:marTop w:val="0"/>
      <w:marBottom w:val="0"/>
      <w:divBdr>
        <w:top w:val="none" w:sz="0" w:space="0" w:color="auto"/>
        <w:left w:val="none" w:sz="0" w:space="0" w:color="auto"/>
        <w:bottom w:val="none" w:sz="0" w:space="0" w:color="auto"/>
        <w:right w:val="none" w:sz="0" w:space="0" w:color="auto"/>
      </w:divBdr>
    </w:div>
    <w:div w:id="1536843383">
      <w:bodyDiv w:val="1"/>
      <w:marLeft w:val="0"/>
      <w:marRight w:val="0"/>
      <w:marTop w:val="0"/>
      <w:marBottom w:val="0"/>
      <w:divBdr>
        <w:top w:val="none" w:sz="0" w:space="0" w:color="auto"/>
        <w:left w:val="none" w:sz="0" w:space="0" w:color="auto"/>
        <w:bottom w:val="none" w:sz="0" w:space="0" w:color="auto"/>
        <w:right w:val="none" w:sz="0" w:space="0" w:color="auto"/>
      </w:divBdr>
      <w:divsChild>
        <w:div w:id="1811825761">
          <w:marLeft w:val="0"/>
          <w:marRight w:val="0"/>
          <w:marTop w:val="0"/>
          <w:marBottom w:val="0"/>
          <w:divBdr>
            <w:top w:val="none" w:sz="0" w:space="0" w:color="auto"/>
            <w:left w:val="none" w:sz="0" w:space="0" w:color="auto"/>
            <w:bottom w:val="none" w:sz="0" w:space="0" w:color="auto"/>
            <w:right w:val="none" w:sz="0" w:space="0" w:color="auto"/>
          </w:divBdr>
          <w:divsChild>
            <w:div w:id="14119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C3E5-43B9-4F3B-BF1D-1F4E5C18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14</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Com</Company>
  <LinksUpToDate>false</LinksUpToDate>
  <CharactersWithSpaces>32441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restika</cp:lastModifiedBy>
  <cp:revision>8</cp:revision>
  <cp:lastPrinted>2018-12-26T13:28:00Z</cp:lastPrinted>
  <dcterms:created xsi:type="dcterms:W3CDTF">2020-07-20T07:44:00Z</dcterms:created>
  <dcterms:modified xsi:type="dcterms:W3CDTF">2020-07-28T04:31:00Z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http://www.zotero.org/styles/modern-humanities-research-association</vt:lpwstr>
  </property>
  <property fmtid="{D5CDD505-2E9C-101B-9397-08002B2CF9AE}" pid="24" name="Mendeley Unique User Id_1">
    <vt:lpwstr>2965f96c-63ea-37d2-bad5-42d7cc08874e</vt:lpwstr>
  </property>
</Properties>
</file>