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6B" w:rsidRPr="00DE3596" w:rsidRDefault="008E416B" w:rsidP="008E416B">
      <w:pPr>
        <w:pStyle w:val="Style2"/>
        <w:rPr>
          <w:rFonts w:ascii="Trajan Pro" w:hAnsi="Trajan Pro"/>
          <w:bCs w:val="0"/>
          <w:sz w:val="24"/>
          <w:szCs w:val="24"/>
        </w:rPr>
      </w:pPr>
      <w:bookmarkStart w:id="0" w:name="_GoBack"/>
      <w:bookmarkEnd w:id="0"/>
      <w:r w:rsidRPr="00DE3596">
        <w:rPr>
          <w:rFonts w:ascii="Trajan Pro" w:hAnsi="Trajan Pro"/>
          <w:bCs w:val="0"/>
          <w:sz w:val="24"/>
          <w:szCs w:val="24"/>
        </w:rPr>
        <w:t>PUTUSAN PENGADILAN NEGERI PADANG</w:t>
      </w:r>
    </w:p>
    <w:p w:rsidR="008E416B" w:rsidRDefault="008E416B" w:rsidP="00DE3596">
      <w:pPr>
        <w:pStyle w:val="Style2"/>
        <w:rPr>
          <w:rFonts w:ascii="Trajan Pro" w:hAnsi="Trajan Pro"/>
          <w:bCs w:val="0"/>
          <w:sz w:val="24"/>
          <w:szCs w:val="24"/>
        </w:rPr>
      </w:pPr>
      <w:r w:rsidRPr="00DE3596">
        <w:rPr>
          <w:rFonts w:ascii="Trajan Pro" w:hAnsi="Trajan Pro"/>
          <w:bCs w:val="0"/>
          <w:sz w:val="24"/>
          <w:szCs w:val="24"/>
        </w:rPr>
        <w:t>NOMOR: 69/Pdt.G/2009/PN.Pdg TENTANG HIBAH WASIAT PERSPEKTIF HUKUM ISLA</w:t>
      </w:r>
      <w:r w:rsidR="00DE3596" w:rsidRPr="00DE3596">
        <w:rPr>
          <w:rFonts w:ascii="Trajan Pro" w:hAnsi="Trajan Pro"/>
          <w:bCs w:val="0"/>
          <w:sz w:val="24"/>
          <w:szCs w:val="24"/>
        </w:rPr>
        <w:t>M</w:t>
      </w:r>
    </w:p>
    <w:p w:rsidR="00DE3596" w:rsidRPr="00DE3596" w:rsidRDefault="00DE3596" w:rsidP="00DE3596">
      <w:pPr>
        <w:pStyle w:val="Style2"/>
        <w:rPr>
          <w:rFonts w:ascii="Times New Roman" w:hAnsi="Times New Roman"/>
          <w:bCs w:val="0"/>
          <w:sz w:val="24"/>
          <w:szCs w:val="24"/>
          <w:vertAlign w:val="superscript"/>
        </w:rPr>
      </w:pPr>
    </w:p>
    <w:p w:rsidR="008E416B" w:rsidRPr="00DE3596" w:rsidRDefault="008E416B" w:rsidP="00DE3596">
      <w:pPr>
        <w:pStyle w:val="Style1"/>
        <w:rPr>
          <w:rFonts w:ascii="Garamond" w:hAnsi="Garamond"/>
          <w:b w:val="0"/>
          <w:sz w:val="24"/>
          <w:szCs w:val="24"/>
        </w:rPr>
      </w:pPr>
      <w:r w:rsidRPr="00DE3596">
        <w:rPr>
          <w:rFonts w:ascii="Garamond" w:hAnsi="Garamond"/>
          <w:b w:val="0"/>
          <w:sz w:val="24"/>
          <w:szCs w:val="24"/>
        </w:rPr>
        <w:t>SUCI RAHMAWATI</w:t>
      </w:r>
    </w:p>
    <w:p w:rsidR="00DE3596" w:rsidRDefault="00DE3596" w:rsidP="00DE3596">
      <w:pPr>
        <w:pStyle w:val="Style1"/>
        <w:rPr>
          <w:rFonts w:ascii="Garamond" w:hAnsi="Garamond"/>
          <w:b w:val="0"/>
          <w:i/>
          <w:iCs/>
          <w:sz w:val="24"/>
          <w:szCs w:val="24"/>
        </w:rPr>
      </w:pPr>
      <w:r>
        <w:rPr>
          <w:rFonts w:ascii="Garamond" w:hAnsi="Garamond"/>
          <w:b w:val="0"/>
          <w:i/>
          <w:iCs/>
          <w:sz w:val="24"/>
          <w:szCs w:val="24"/>
        </w:rPr>
        <w:t>Fakultas Syari’ah</w:t>
      </w:r>
      <w:r w:rsidR="008E416B" w:rsidRPr="00DE3596">
        <w:rPr>
          <w:rFonts w:ascii="Garamond" w:hAnsi="Garamond"/>
          <w:b w:val="0"/>
          <w:i/>
          <w:iCs/>
          <w:sz w:val="24"/>
          <w:szCs w:val="24"/>
        </w:rPr>
        <w:t xml:space="preserve"> Universitas Islam Negeri (UIN)</w:t>
      </w:r>
      <w:r>
        <w:rPr>
          <w:rFonts w:ascii="Garamond" w:hAnsi="Garamond"/>
          <w:b w:val="0"/>
          <w:i/>
          <w:iCs/>
          <w:sz w:val="24"/>
          <w:szCs w:val="24"/>
        </w:rPr>
        <w:t xml:space="preserve"> </w:t>
      </w:r>
      <w:r w:rsidR="008E416B" w:rsidRPr="00DE3596">
        <w:rPr>
          <w:rFonts w:ascii="Garamond" w:hAnsi="Garamond"/>
          <w:b w:val="0"/>
          <w:i/>
          <w:iCs/>
          <w:sz w:val="24"/>
          <w:szCs w:val="24"/>
        </w:rPr>
        <w:t>Imam Bonjol Padang</w:t>
      </w:r>
    </w:p>
    <w:p w:rsidR="008E416B" w:rsidRDefault="008E416B" w:rsidP="00DE3596">
      <w:pPr>
        <w:pStyle w:val="Style1"/>
        <w:rPr>
          <w:rFonts w:ascii="Garamond" w:hAnsi="Garamond"/>
          <w:b w:val="0"/>
          <w:i/>
          <w:iCs/>
          <w:sz w:val="24"/>
          <w:szCs w:val="24"/>
        </w:rPr>
      </w:pPr>
      <w:r w:rsidRPr="00DE3596">
        <w:rPr>
          <w:rFonts w:ascii="Garamond" w:hAnsi="Garamond"/>
          <w:b w:val="0"/>
          <w:i/>
          <w:iCs/>
          <w:sz w:val="24"/>
          <w:szCs w:val="24"/>
        </w:rPr>
        <w:t xml:space="preserve">E-mail: </w:t>
      </w:r>
      <w:hyperlink r:id="rId8" w:history="1">
        <w:r w:rsidRPr="00DE3596">
          <w:rPr>
            <w:rFonts w:ascii="Garamond" w:hAnsi="Garamond"/>
            <w:b w:val="0"/>
            <w:i/>
            <w:iCs/>
            <w:sz w:val="24"/>
            <w:szCs w:val="24"/>
          </w:rPr>
          <w:t>thahirah_el_ayyubiyah@yahoo.com</w:t>
        </w:r>
      </w:hyperlink>
    </w:p>
    <w:p w:rsidR="00DE3596" w:rsidRPr="00DE3596" w:rsidRDefault="00DE3596" w:rsidP="00DE3596">
      <w:pPr>
        <w:pStyle w:val="Style1"/>
        <w:rPr>
          <w:rFonts w:ascii="Garamond" w:hAnsi="Garamond"/>
          <w:b w:val="0"/>
          <w:i/>
          <w:iCs/>
          <w:sz w:val="24"/>
          <w:szCs w:val="24"/>
        </w:rPr>
      </w:pPr>
    </w:p>
    <w:p w:rsidR="008E416B" w:rsidRPr="00DE3596" w:rsidRDefault="001A1379" w:rsidP="00DE3596">
      <w:pPr>
        <w:pStyle w:val="Style1"/>
        <w:spacing w:before="240" w:after="40"/>
        <w:rPr>
          <w:rFonts w:ascii="Times New Roman" w:hAnsi="Times New Roman"/>
          <w:bCs w:val="0"/>
          <w:sz w:val="20"/>
          <w:szCs w:val="20"/>
        </w:rPr>
      </w:pPr>
      <w:r w:rsidRPr="00DE3596">
        <w:rPr>
          <w:rFonts w:ascii="Garamond" w:hAnsi="Garamond"/>
          <w:bCs w:val="0"/>
          <w:i/>
          <w:iCs/>
          <w:sz w:val="24"/>
          <w:szCs w:val="24"/>
        </w:rPr>
        <w:t>Abstra</w:t>
      </w:r>
      <w:r>
        <w:rPr>
          <w:rFonts w:ascii="Garamond" w:hAnsi="Garamond"/>
          <w:bCs w:val="0"/>
          <w:i/>
          <w:iCs/>
          <w:sz w:val="24"/>
          <w:szCs w:val="24"/>
        </w:rPr>
        <w:t>ct</w:t>
      </w:r>
    </w:p>
    <w:p w:rsidR="008E416B" w:rsidRDefault="008E416B" w:rsidP="008E416B">
      <w:pPr>
        <w:spacing w:after="0" w:line="240" w:lineRule="auto"/>
        <w:jc w:val="center"/>
        <w:rPr>
          <w:rFonts w:ascii="Times New Roman" w:hAnsi="Times New Roman" w:cs="Times New Roman"/>
          <w:bCs/>
          <w:sz w:val="20"/>
          <w:szCs w:val="20"/>
        </w:rPr>
      </w:pPr>
    </w:p>
    <w:p w:rsidR="008E416B" w:rsidRPr="001A1379" w:rsidRDefault="008E416B" w:rsidP="008E416B">
      <w:pPr>
        <w:spacing w:after="0" w:line="240" w:lineRule="auto"/>
        <w:ind w:left="567" w:right="441"/>
        <w:jc w:val="both"/>
        <w:rPr>
          <w:rFonts w:ascii="Garamond" w:hAnsi="Garamond" w:cs="Times New Roman"/>
          <w:i/>
          <w:iCs/>
        </w:rPr>
      </w:pPr>
      <w:r w:rsidRPr="001A1379">
        <w:rPr>
          <w:rFonts w:ascii="Garamond" w:hAnsi="Garamond" w:cs="Times New Roman"/>
          <w:i/>
          <w:iCs/>
        </w:rPr>
        <w:t>This article would explain the testament of the testamentary gift Number: 69/Pdt.G/2009/PN.Pdg., in the Padang District Court. As for the background of this research is the settlement of the will between the people of Islam, but decided by the district court, so there are some irregularities, both in terms of formal law and Islamic law. This research is a normative legal research with data analysis method in the form of content analysis. Based on the results of the decision are considered appropriate by the panel of judges who completed the case. Although there are no legal remedies from the parties against the decision of the district court judge, from the perspective of Islamic law the decision is still contrary to what should apply to people of Islam.</w:t>
      </w:r>
    </w:p>
    <w:p w:rsidR="008E416B" w:rsidRPr="001A1379" w:rsidRDefault="008E416B" w:rsidP="008E416B">
      <w:pPr>
        <w:spacing w:after="0" w:line="240" w:lineRule="auto"/>
        <w:ind w:left="567" w:right="441"/>
        <w:jc w:val="both"/>
        <w:rPr>
          <w:rFonts w:ascii="Garamond" w:hAnsi="Garamond" w:cs="Times New Roman"/>
          <w:i/>
          <w:iCs/>
        </w:rPr>
      </w:pPr>
    </w:p>
    <w:p w:rsidR="008E416B" w:rsidRDefault="008E416B" w:rsidP="001A1379">
      <w:pPr>
        <w:spacing w:after="0" w:line="240" w:lineRule="auto"/>
        <w:ind w:left="567" w:right="441"/>
        <w:jc w:val="both"/>
        <w:rPr>
          <w:rFonts w:ascii="Garamond" w:hAnsi="Garamond" w:cs="Times New Roman"/>
          <w:bCs/>
          <w:i/>
        </w:rPr>
      </w:pPr>
      <w:r w:rsidRPr="001A1379">
        <w:rPr>
          <w:rFonts w:ascii="Garamond" w:hAnsi="Garamond" w:cs="Times New Roman"/>
          <w:b/>
          <w:i/>
        </w:rPr>
        <w:t>Keyword:</w:t>
      </w:r>
      <w:r w:rsidR="001A1379">
        <w:rPr>
          <w:rFonts w:ascii="Garamond" w:hAnsi="Garamond" w:cs="Times New Roman"/>
          <w:bCs/>
          <w:i/>
        </w:rPr>
        <w:t xml:space="preserve"> District Court</w:t>
      </w:r>
      <w:r w:rsidRPr="001A1379">
        <w:rPr>
          <w:rFonts w:ascii="Garamond" w:hAnsi="Garamond" w:cs="Times New Roman"/>
          <w:bCs/>
          <w:i/>
        </w:rPr>
        <w:t xml:space="preserve">, </w:t>
      </w:r>
      <w:r w:rsidR="001A1379">
        <w:rPr>
          <w:rFonts w:ascii="Garamond" w:hAnsi="Garamond" w:cs="Times New Roman"/>
          <w:bCs/>
          <w:i/>
        </w:rPr>
        <w:t>Testamentary Gift</w:t>
      </w:r>
      <w:r w:rsidR="001A1379" w:rsidRPr="001A1379">
        <w:rPr>
          <w:rFonts w:ascii="Garamond" w:hAnsi="Garamond" w:cs="Times New Roman"/>
          <w:bCs/>
          <w:i/>
        </w:rPr>
        <w:t xml:space="preserve">, </w:t>
      </w:r>
      <w:r w:rsidR="001A1379">
        <w:rPr>
          <w:rFonts w:ascii="Garamond" w:hAnsi="Garamond" w:cs="Times New Roman"/>
          <w:bCs/>
          <w:i/>
        </w:rPr>
        <w:t>Islamic Law</w:t>
      </w:r>
    </w:p>
    <w:p w:rsidR="001A1379" w:rsidRDefault="001A1379" w:rsidP="008E416B">
      <w:pPr>
        <w:spacing w:after="0" w:line="240" w:lineRule="auto"/>
        <w:ind w:left="567" w:right="441"/>
        <w:jc w:val="both"/>
        <w:rPr>
          <w:rFonts w:ascii="Garamond" w:hAnsi="Garamond" w:cs="Times New Roman"/>
          <w:bCs/>
          <w:i/>
        </w:rPr>
      </w:pPr>
    </w:p>
    <w:p w:rsidR="001A1379" w:rsidRPr="00085F14" w:rsidRDefault="001A1379" w:rsidP="00085F14">
      <w:pPr>
        <w:pStyle w:val="Style1"/>
        <w:spacing w:before="240" w:after="40"/>
        <w:rPr>
          <w:rFonts w:ascii="Garamond" w:hAnsi="Garamond"/>
          <w:bCs w:val="0"/>
          <w:iCs/>
        </w:rPr>
      </w:pPr>
      <w:r w:rsidRPr="001D4FC7">
        <w:rPr>
          <w:rFonts w:ascii="Garamond" w:hAnsi="Garamond"/>
          <w:bCs w:val="0"/>
          <w:sz w:val="24"/>
          <w:szCs w:val="24"/>
        </w:rPr>
        <w:t>Abstrak</w:t>
      </w:r>
    </w:p>
    <w:p w:rsidR="001A1379" w:rsidRDefault="001A1379" w:rsidP="001A1379">
      <w:pPr>
        <w:spacing w:after="0" w:line="240" w:lineRule="auto"/>
        <w:ind w:left="567" w:right="441"/>
        <w:jc w:val="both"/>
        <w:rPr>
          <w:rFonts w:ascii="Times New Roman" w:hAnsi="Times New Roman" w:cs="Times New Roman"/>
          <w:b/>
          <w:bCs/>
          <w:szCs w:val="20"/>
        </w:rPr>
      </w:pPr>
    </w:p>
    <w:p w:rsidR="00736543" w:rsidRPr="00085F14" w:rsidRDefault="008F4855" w:rsidP="00736543">
      <w:pPr>
        <w:spacing w:after="0" w:line="240" w:lineRule="auto"/>
        <w:ind w:left="567" w:right="441"/>
        <w:jc w:val="both"/>
        <w:rPr>
          <w:rFonts w:ascii="Garamond" w:hAnsi="Garamond" w:cs="Times New Roman"/>
        </w:rPr>
      </w:pPr>
      <w:r w:rsidRPr="00085F14">
        <w:rPr>
          <w:rFonts w:ascii="Garamond" w:hAnsi="Garamond" w:cs="Times New Roman"/>
        </w:rPr>
        <w:t xml:space="preserve">Artikel </w:t>
      </w:r>
      <w:r w:rsidR="00736543" w:rsidRPr="00085F14">
        <w:rPr>
          <w:rFonts w:ascii="Garamond" w:hAnsi="Garamond" w:cs="Times New Roman"/>
        </w:rPr>
        <w:t xml:space="preserve">ini menjelaskan tentang perkara hibah wasiat Nomor: </w:t>
      </w:r>
      <w:r w:rsidRPr="00085F14">
        <w:rPr>
          <w:rFonts w:ascii="Garamond" w:hAnsi="Garamond" w:cs="Times New Roman"/>
        </w:rPr>
        <w:t xml:space="preserve">69/Pdt.G/2009/PN.Pdg., di </w:t>
      </w:r>
      <w:r w:rsidR="008F1624" w:rsidRPr="00085F14">
        <w:rPr>
          <w:rFonts w:ascii="Garamond" w:hAnsi="Garamond" w:cs="Times New Roman"/>
        </w:rPr>
        <w:t>Pengadilan Negeri Padang. Adapun latar belakang penelitian ini adalah adanya perkara wasiat antara orang yang beragama Islam, namun diputuskan oleh pengadilan negeri, sehingga menimbulkan beberapa kejanggalan, baik dari segi hukum formil maupun hukum Islam. Penelitian ini adalah penelitian hukum normatif dengan metode analisis data berupa analisis isi</w:t>
      </w:r>
      <w:r w:rsidR="00085F14">
        <w:rPr>
          <w:rFonts w:ascii="Garamond" w:hAnsi="Garamond" w:cs="Times New Roman"/>
        </w:rPr>
        <w:t xml:space="preserve"> (</w:t>
      </w:r>
      <w:r w:rsidR="00085F14">
        <w:rPr>
          <w:rFonts w:ascii="Garamond" w:hAnsi="Garamond" w:cs="Times New Roman"/>
          <w:i/>
          <w:iCs/>
        </w:rPr>
        <w:t>content analysis</w:t>
      </w:r>
      <w:r w:rsidR="00085F14">
        <w:rPr>
          <w:rFonts w:ascii="Garamond" w:hAnsi="Garamond" w:cs="Times New Roman"/>
        </w:rPr>
        <w:t>)</w:t>
      </w:r>
      <w:r w:rsidR="00085F14" w:rsidRPr="00085F14">
        <w:rPr>
          <w:rFonts w:ascii="Garamond" w:hAnsi="Garamond" w:cs="Times New Roman"/>
        </w:rPr>
        <w:t>. Berdasarkan hasil penelitian diketahui bahwa putusan yang dibuat dinilai sudah tepat oleh majelis hakim yang menyelesaikan perkara tersebut. Meskipun tidak ada upaya banding yang dilakukan oleh para pihak yang berperkara terhadap putusan tersebut, namun hal ini tetap saja bertentangan dengan apa yang seharusnya diterapkan bagi orang yang beragama Islam.</w:t>
      </w:r>
    </w:p>
    <w:p w:rsidR="00085F14" w:rsidRDefault="00085F14" w:rsidP="00736543">
      <w:pPr>
        <w:spacing w:after="0" w:line="240" w:lineRule="auto"/>
        <w:ind w:left="567" w:right="441"/>
        <w:jc w:val="both"/>
        <w:rPr>
          <w:rFonts w:ascii="Garamond" w:hAnsi="Garamond" w:cs="Times New Roman"/>
        </w:rPr>
      </w:pPr>
    </w:p>
    <w:p w:rsidR="00085F14" w:rsidRPr="00085F14" w:rsidRDefault="00085F14" w:rsidP="00736543">
      <w:pPr>
        <w:spacing w:after="0" w:line="240" w:lineRule="auto"/>
        <w:ind w:left="567" w:right="441"/>
        <w:jc w:val="both"/>
        <w:rPr>
          <w:rFonts w:ascii="Garamond" w:hAnsi="Garamond" w:cs="Times New Roman"/>
        </w:rPr>
      </w:pPr>
      <w:r w:rsidRPr="00085F14">
        <w:rPr>
          <w:rFonts w:ascii="Garamond" w:hAnsi="Garamond" w:cs="Times New Roman"/>
          <w:b/>
          <w:bCs/>
        </w:rPr>
        <w:t>Kata Kunci</w:t>
      </w:r>
      <w:r>
        <w:rPr>
          <w:rFonts w:ascii="Garamond" w:hAnsi="Garamond" w:cs="Times New Roman"/>
          <w:b/>
          <w:bCs/>
        </w:rPr>
        <w:t xml:space="preserve">: </w:t>
      </w:r>
      <w:r>
        <w:rPr>
          <w:rFonts w:ascii="Garamond" w:hAnsi="Garamond" w:cs="Times New Roman"/>
        </w:rPr>
        <w:t>Pengadilan Negeri, Hibah Wasiat, Hukum Islam</w:t>
      </w:r>
    </w:p>
    <w:p w:rsidR="00736543" w:rsidRDefault="00736543" w:rsidP="00736543">
      <w:pPr>
        <w:spacing w:after="0" w:line="240" w:lineRule="auto"/>
        <w:ind w:left="567" w:right="441"/>
        <w:jc w:val="both"/>
        <w:rPr>
          <w:rFonts w:ascii="Garamond" w:hAnsi="Garamond" w:cs="Times New Roman"/>
          <w:szCs w:val="20"/>
        </w:rPr>
      </w:pPr>
    </w:p>
    <w:p w:rsidR="00736543" w:rsidRPr="001D4FC7" w:rsidRDefault="00736543" w:rsidP="00736543">
      <w:pPr>
        <w:spacing w:after="0" w:line="240" w:lineRule="auto"/>
        <w:ind w:left="567" w:right="441"/>
        <w:jc w:val="both"/>
        <w:rPr>
          <w:rFonts w:ascii="Garamond" w:hAnsi="Garamond" w:cs="Times New Roman"/>
          <w:szCs w:val="20"/>
        </w:rPr>
        <w:sectPr w:rsidR="00736543" w:rsidRPr="001D4FC7" w:rsidSect="004F24AB">
          <w:headerReference w:type="default" r:id="rId9"/>
          <w:footerReference w:type="default" r:id="rId10"/>
          <w:footerReference w:type="first" r:id="rId11"/>
          <w:pgSz w:w="12240" w:h="15840"/>
          <w:pgMar w:top="1440" w:right="1080" w:bottom="1440" w:left="1080" w:header="720" w:footer="720" w:gutter="0"/>
          <w:cols w:space="720"/>
          <w:titlePg/>
          <w:docGrid w:linePitch="360"/>
        </w:sectPr>
      </w:pPr>
    </w:p>
    <w:p w:rsidR="008E416B" w:rsidRPr="000120A9" w:rsidRDefault="008E416B" w:rsidP="000120A9">
      <w:pPr>
        <w:spacing w:after="0"/>
        <w:jc w:val="both"/>
        <w:rPr>
          <w:rFonts w:ascii="Garamond" w:hAnsi="Garamond" w:cs="Times New Roman"/>
          <w:bCs/>
          <w:sz w:val="24"/>
          <w:szCs w:val="24"/>
        </w:rPr>
      </w:pPr>
      <w:r w:rsidRPr="000120A9">
        <w:rPr>
          <w:rFonts w:ascii="Garamond" w:hAnsi="Garamond" w:cs="Times New Roman"/>
          <w:b/>
          <w:sz w:val="24"/>
          <w:szCs w:val="24"/>
        </w:rPr>
        <w:lastRenderedPageBreak/>
        <w:t>PENDAHULUAN</w:t>
      </w:r>
    </w:p>
    <w:p w:rsidR="00F35E81" w:rsidRPr="00F868B0" w:rsidRDefault="00F35E81"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Hibah wasiat merupakan sebuah istilah hukum yang muncul dalam tatanan hukum perdata</w:t>
      </w:r>
      <w:r w:rsidRPr="00F868B0">
        <w:rPr>
          <w:rStyle w:val="FootnoteReference"/>
          <w:rFonts w:ascii="Garamond" w:hAnsi="Garamond"/>
          <w:sz w:val="24"/>
          <w:szCs w:val="24"/>
        </w:rPr>
        <w:footnoteReference w:id="1"/>
      </w:r>
      <w:r w:rsidRPr="00F868B0">
        <w:rPr>
          <w:rFonts w:ascii="Garamond" w:hAnsi="Garamond" w:cs="Times New Roman"/>
          <w:sz w:val="24"/>
          <w:szCs w:val="24"/>
        </w:rPr>
        <w:t xml:space="preserve"> di Indonesia. Konsep hibah wasiat ini secara tekstual hanya terdapat dalam ketentuan </w:t>
      </w:r>
      <w:r w:rsidRPr="00F868B0">
        <w:rPr>
          <w:rFonts w:ascii="Garamond" w:hAnsi="Garamond" w:cs="Times New Roman"/>
          <w:sz w:val="24"/>
          <w:szCs w:val="24"/>
        </w:rPr>
        <w:lastRenderedPageBreak/>
        <w:t>Kitab Undang-undang Hukum Perdata</w:t>
      </w:r>
      <w:r w:rsidR="00B87731" w:rsidRPr="00F868B0">
        <w:rPr>
          <w:rStyle w:val="FootnoteReference"/>
          <w:rFonts w:ascii="Garamond" w:hAnsi="Garamond"/>
          <w:sz w:val="24"/>
          <w:szCs w:val="24"/>
        </w:rPr>
        <w:footnoteReference w:id="2"/>
      </w:r>
      <w:r w:rsidR="00B87731" w:rsidRPr="00F868B0">
        <w:rPr>
          <w:rFonts w:ascii="Garamond" w:hAnsi="Garamond" w:cs="Times New Roman"/>
          <w:sz w:val="24"/>
          <w:szCs w:val="24"/>
        </w:rPr>
        <w:t xml:space="preserve">, </w:t>
      </w:r>
      <w:r w:rsidRPr="00F868B0">
        <w:rPr>
          <w:rFonts w:ascii="Garamond" w:hAnsi="Garamond" w:cs="Times New Roman"/>
          <w:sz w:val="24"/>
          <w:szCs w:val="24"/>
        </w:rPr>
        <w:t>selanjutnya disingkat dengan KUH Perdata.</w:t>
      </w:r>
    </w:p>
    <w:p w:rsidR="008E416B" w:rsidRPr="000120A9" w:rsidRDefault="00B87731"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lastRenderedPageBreak/>
        <w:t xml:space="preserve">Istilah hibah wasiat tidak dikenal dalam literatur hukum Islam. Namun, secara yuridis dapat diketahui bahwa hibah wasiat merupakan </w:t>
      </w:r>
      <w:r w:rsidR="00F35E81" w:rsidRPr="00F868B0">
        <w:rPr>
          <w:rFonts w:ascii="Garamond" w:hAnsi="Garamond" w:cs="Times New Roman"/>
          <w:sz w:val="24"/>
          <w:szCs w:val="24"/>
        </w:rPr>
        <w:t>salah satu bentuk perpindahan harta milik pewaris dan atau pewasiat setelah ia meninggal dunia, selain wasiat</w:t>
      </w:r>
      <w:r w:rsidR="00F35E81" w:rsidRPr="00F868B0">
        <w:rPr>
          <w:rStyle w:val="FootnoteReference"/>
          <w:rFonts w:ascii="Garamond" w:hAnsi="Garamond"/>
          <w:sz w:val="24"/>
          <w:szCs w:val="24"/>
        </w:rPr>
        <w:footnoteReference w:id="3"/>
      </w:r>
      <w:r w:rsidR="00F35E81" w:rsidRPr="00F868B0">
        <w:rPr>
          <w:rFonts w:ascii="Garamond" w:hAnsi="Garamond" w:cs="Times New Roman"/>
          <w:sz w:val="24"/>
          <w:szCs w:val="24"/>
        </w:rPr>
        <w:t xml:space="preserve"> dan waris</w:t>
      </w:r>
      <w:r w:rsidR="00F35E81" w:rsidRPr="00F868B0">
        <w:rPr>
          <w:rStyle w:val="FootnoteReference"/>
          <w:rFonts w:ascii="Garamond" w:hAnsi="Garamond"/>
          <w:sz w:val="24"/>
          <w:szCs w:val="24"/>
        </w:rPr>
        <w:footnoteReference w:id="4"/>
      </w:r>
      <w:r w:rsidR="00F35E81" w:rsidRPr="00F868B0">
        <w:rPr>
          <w:rFonts w:ascii="Garamond" w:hAnsi="Garamond" w:cs="Times New Roman"/>
          <w:sz w:val="24"/>
          <w:szCs w:val="24"/>
        </w:rPr>
        <w:t xml:space="preserve"> yang</w:t>
      </w:r>
      <w:r w:rsidRPr="00F868B0">
        <w:rPr>
          <w:rFonts w:ascii="Garamond" w:hAnsi="Garamond" w:cs="Times New Roman"/>
          <w:sz w:val="24"/>
          <w:szCs w:val="24"/>
        </w:rPr>
        <w:t xml:space="preserve"> selama ini dikenal dalam tatanan hukum Islam.</w:t>
      </w:r>
      <w:r w:rsidR="008F6391" w:rsidRPr="00F868B0">
        <w:rPr>
          <w:rFonts w:ascii="Garamond" w:hAnsi="Garamond" w:cs="Times New Roman"/>
          <w:sz w:val="24"/>
          <w:szCs w:val="24"/>
        </w:rPr>
        <w:t xml:space="preserve"> Di samping itu, jika dilihat berdasarkan ketentuan pasal 874-879 KUH Perdata, maka dapat diketahui bahwa hibah wasiat yang dimaksud di dalam KUH Perdata merupakan bagian dari wasiat. Ketentuan mengenai hibah wasiat tersebut juga sama dengan wasiat yang ada di dalam hukum Islam, yaitu sama-sama berupa penunjukan seseorang oleh pewasiat sebagai penerima bagian tertentu dari harta yang dimilikinya, dan pemindahan harta yang dimaksud berlaku setelah pewasiat meninggal dunia.</w:t>
      </w:r>
    </w:p>
    <w:p w:rsidR="00434BF1" w:rsidRPr="000120A9" w:rsidRDefault="008F6391"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Sebagaimana halnya dengan persoalan perpindahan harta lainnya, hibah wasiat juga seringkali menimbulkan persengketaan dalam pelaksanaannya. </w:t>
      </w:r>
      <w:r w:rsidR="00561EF8" w:rsidRPr="00F868B0">
        <w:rPr>
          <w:rFonts w:ascii="Garamond" w:hAnsi="Garamond" w:cs="Times New Roman"/>
          <w:sz w:val="24"/>
          <w:szCs w:val="24"/>
        </w:rPr>
        <w:t xml:space="preserve">Untuk penyelesaian sengketa tersebut para pihak dapat mengajukannya kepada </w:t>
      </w:r>
      <w:r w:rsidR="00561EF8" w:rsidRPr="00F868B0">
        <w:rPr>
          <w:rFonts w:ascii="Garamond" w:hAnsi="Garamond" w:cs="Times New Roman"/>
          <w:sz w:val="24"/>
          <w:szCs w:val="24"/>
        </w:rPr>
        <w:lastRenderedPageBreak/>
        <w:t>pihak yang berwenang.</w:t>
      </w:r>
      <w:r w:rsidR="00B57343" w:rsidRPr="00F868B0">
        <w:rPr>
          <w:rFonts w:ascii="Garamond" w:hAnsi="Garamond" w:cs="Times New Roman"/>
          <w:sz w:val="24"/>
          <w:szCs w:val="24"/>
        </w:rPr>
        <w:t xml:space="preserve"> </w:t>
      </w:r>
      <w:r w:rsidR="003236EC" w:rsidRPr="00F868B0">
        <w:rPr>
          <w:rFonts w:ascii="Garamond" w:hAnsi="Garamond" w:cs="Times New Roman"/>
          <w:sz w:val="24"/>
          <w:szCs w:val="24"/>
        </w:rPr>
        <w:t>Pihak berwenang yang dimaksud adalah badan peradilan, yaitu pelaksana kekuasaan kehakiman yang memiliki tugas pokok menerima, memeriksa, dan mengadili serta menyelesaikan setiap perkara yang diajukan kepadanya.</w:t>
      </w:r>
    </w:p>
    <w:p w:rsidR="008E416B" w:rsidRPr="000120A9" w:rsidRDefault="003236EC"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Terdapat dua badan peradilan di Indonesia yang </w:t>
      </w:r>
      <w:r w:rsidR="00B57343" w:rsidRPr="00F868B0">
        <w:rPr>
          <w:rFonts w:ascii="Garamond" w:hAnsi="Garamond" w:cs="Times New Roman"/>
          <w:sz w:val="24"/>
          <w:szCs w:val="24"/>
        </w:rPr>
        <w:t>berwenang atas penyelesaian</w:t>
      </w:r>
      <w:r w:rsidRPr="00F868B0">
        <w:rPr>
          <w:rFonts w:ascii="Garamond" w:hAnsi="Garamond" w:cs="Times New Roman"/>
          <w:sz w:val="24"/>
          <w:szCs w:val="24"/>
        </w:rPr>
        <w:t xml:space="preserve"> perkara perdata, yaitu peradilan umum dengan Pengadilan Negeri sebagai pengadilan tingkat pertama dan Pengadilan Tinggi Negeri sebagai pengadilan tingkat banding, serta peradilan agama dengan Pengadilan Agama sebagai pengadilan tingkat pertama dan Pengadilan Tinggi Agama sebagai pengadilan tingkat banding.</w:t>
      </w:r>
      <w:r w:rsidR="00B57343" w:rsidRPr="00F868B0">
        <w:rPr>
          <w:rFonts w:ascii="Garamond" w:hAnsi="Garamond" w:cs="Times New Roman"/>
          <w:sz w:val="24"/>
          <w:szCs w:val="24"/>
        </w:rPr>
        <w:t xml:space="preserve"> Meskipun demikian, kedua badan peradilan tersebut memiliki perbedaan mengenai kewenangan absolut pengadilan.</w:t>
      </w:r>
    </w:p>
    <w:p w:rsidR="008E416B" w:rsidRPr="000120A9" w:rsidRDefault="00B57343"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Secara yuridis, Peradilan Umum sebagai salah satu pemegang kekuasaan kehakiman memiliki kewenangan untuk memeriksa, mengadili dan memutus perkara pidana dan perdata pada tingkat pertama untuk Pengadilan Negeri dan tingkat banding untuk Pengadilan Tinggi Negeri.</w:t>
      </w:r>
      <w:r w:rsidRPr="00F868B0">
        <w:rPr>
          <w:rStyle w:val="FootnoteReference"/>
          <w:rFonts w:ascii="Garamond" w:hAnsi="Garamond"/>
          <w:sz w:val="24"/>
          <w:szCs w:val="24"/>
        </w:rPr>
        <w:footnoteReference w:id="5"/>
      </w:r>
      <w:r w:rsidRPr="00F868B0">
        <w:rPr>
          <w:rFonts w:ascii="Garamond" w:hAnsi="Garamond" w:cs="Times New Roman"/>
          <w:sz w:val="24"/>
          <w:szCs w:val="24"/>
        </w:rPr>
        <w:t xml:space="preserve"> Sedangkan Peradilan Agama, berdasarkan Undang-undang Nomor 7 Tahun 1989 </w:t>
      </w:r>
      <w:r w:rsidRPr="00F868B0">
        <w:rPr>
          <w:rFonts w:ascii="Garamond" w:hAnsi="Garamond" w:cs="Times New Roman"/>
          <w:iCs/>
          <w:sz w:val="24"/>
          <w:szCs w:val="24"/>
        </w:rPr>
        <w:t>jo</w:t>
      </w:r>
      <w:r w:rsidRPr="00F868B0">
        <w:rPr>
          <w:rFonts w:ascii="Garamond" w:hAnsi="Garamond" w:cs="Times New Roman"/>
          <w:sz w:val="24"/>
          <w:szCs w:val="24"/>
        </w:rPr>
        <w:t xml:space="preserve"> Undang-undang Nomor 3 Tahun 2006 tentang Peradilan Agama mempunyai kewenangan untuk memeriksa, mengadili dan memutus perkara antara orang-orang yang beragama Islam di bidang perkawinan, kewarisan, wasiat, hibah, wakaf, zakat, infak, sedekah dan ekonomi syari’ah.</w:t>
      </w:r>
      <w:r w:rsidRPr="00F868B0">
        <w:rPr>
          <w:rStyle w:val="FootnoteReference"/>
          <w:rFonts w:ascii="Garamond" w:hAnsi="Garamond"/>
          <w:sz w:val="24"/>
          <w:szCs w:val="24"/>
        </w:rPr>
        <w:footnoteReference w:id="6"/>
      </w:r>
    </w:p>
    <w:p w:rsidR="008E416B" w:rsidRPr="000120A9" w:rsidRDefault="00B57343"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Berdasarkan ketentuan tersebut, maka dapat diketahui bahwa perkara hibah wasiat antara orang-orang yang beragama Islam merupakan kewenangan dari Pengadilan Agama. Namun, dalam prakteknya masih terdapat perkara hibah </w:t>
      </w:r>
      <w:r w:rsidRPr="00F868B0">
        <w:rPr>
          <w:rFonts w:ascii="Garamond" w:hAnsi="Garamond" w:cs="Times New Roman"/>
          <w:sz w:val="24"/>
          <w:szCs w:val="24"/>
        </w:rPr>
        <w:lastRenderedPageBreak/>
        <w:t>wasiat antara orang-orang yang beragama Islam yang diterima dan diputuskan oleh Pengadilam Negeri. Salah satu perkara yang dimaksud adalah perkara hibah wasiat di Pengadilan Negeri Padang dengan Nomor: 69/Pdt.G/2009/PN.Pdg.</w:t>
      </w:r>
    </w:p>
    <w:p w:rsidR="008E416B" w:rsidRPr="000120A9" w:rsidRDefault="00B57343"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Perkara hibah wasiat tersebut diajukan oleh enam orang penggugat melawan dua orang tergugat yang sama-sama beragama Islam. Enam orang penggugat menyatakan diri sebagai ahli waris dari seorang pewaris yang bernama ALRB. Keseluruhan penggugat tersebut merupakan anak-anak kandung dari saudara-saudara kandung pewaris yang telah meninggal dunia sebelum meninggalnya pewaris. Sedangkan tergugat yang terdiri dari tergugat I adalah isteri pewaris, dan tergugat II merupakan pelaksana wasiat.</w:t>
      </w:r>
    </w:p>
    <w:p w:rsidR="008E416B" w:rsidRPr="000120A9" w:rsidRDefault="007B24EC"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Pada positanya, para penggugat mengemukakan dua hal mengenai pengajuan gugatan tersebut ke Pengadilan Negeri Padang, yaitu berkenaan dengan hibah wasiat yang belum dilaksanakan dan harta yang diduga merupakan warisan dari pewaris yang tidak dicantumkan di dalam surat wasiat yang semestinya harus diselesaikan menurut ketentuan yang berlaku.</w:t>
      </w:r>
    </w:p>
    <w:p w:rsidR="008E416B" w:rsidRPr="000120A9" w:rsidRDefault="007B24EC"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Harta yang telah dihibahwasiatkan adalah berupa tiga bidang tanah hak milik dengan bangunan yang berdiri diatasnya, serta saham perusahaan masing-masing sebanyak 50 % kepada tergugat I sebagai isteri pewaris dan kepada saudara-saudara kandung pewaris yang dalam hal ini adalah orang tua kandung dari para penggugat yang keseluruhannya telah meninggal dunia sebelum meninggalnya pewaris.</w:t>
      </w:r>
    </w:p>
    <w:p w:rsidR="007B24EC" w:rsidRPr="00F868B0" w:rsidRDefault="007B24EC"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Selanjutnya, harta yang diduga sebagai harta warisan yang belum dibagi selain yang dicantumkan dalam surat wasiat adalah berupa tiga bidang tanah hak milik lengkap dengan sertifikatnya. Dua bidang tanah yang dimaksud berlokasi di Kota Padang, dan satu bidang lainnya berlokasi di Kabupaten Pesisir Selatan.</w:t>
      </w:r>
    </w:p>
    <w:p w:rsidR="008E416B" w:rsidRPr="00F868B0" w:rsidRDefault="008E416B" w:rsidP="00F868B0">
      <w:pPr>
        <w:pStyle w:val="ListParagraph"/>
        <w:spacing w:after="0"/>
        <w:ind w:left="284" w:firstLine="709"/>
        <w:jc w:val="both"/>
        <w:rPr>
          <w:rFonts w:ascii="Garamond" w:hAnsi="Garamond" w:cs="Times New Roman"/>
          <w:sz w:val="24"/>
          <w:szCs w:val="24"/>
        </w:rPr>
      </w:pPr>
    </w:p>
    <w:p w:rsidR="008E416B" w:rsidRPr="000120A9" w:rsidRDefault="00977884"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lastRenderedPageBreak/>
        <w:t>Adapun putusan hakim Pengadilan Negeri Padang dalam perkara tersebut adalah mengabulka</w:t>
      </w:r>
      <w:r w:rsidR="003172AF" w:rsidRPr="00F868B0">
        <w:rPr>
          <w:rFonts w:ascii="Garamond" w:hAnsi="Garamond" w:cs="Times New Roman"/>
          <w:sz w:val="24"/>
          <w:szCs w:val="24"/>
        </w:rPr>
        <w:t>n</w:t>
      </w:r>
      <w:r w:rsidRPr="00F868B0">
        <w:rPr>
          <w:rFonts w:ascii="Garamond" w:hAnsi="Garamond" w:cs="Times New Roman"/>
          <w:sz w:val="24"/>
          <w:szCs w:val="24"/>
        </w:rPr>
        <w:t xml:space="preserve"> gugatan penggugat berkenaan dengan pemberian hibah wasiat sebanyak 50 % dari modal perusahaan dan tanah hak milik sesuai dengan apa yang tercantum dalam akta wasiat.</w:t>
      </w:r>
    </w:p>
    <w:p w:rsidR="008E416B" w:rsidRPr="000120A9" w:rsidRDefault="00FC0817"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Berdasarkan</w:t>
      </w:r>
      <w:r w:rsidR="00977884" w:rsidRPr="00F868B0">
        <w:rPr>
          <w:rFonts w:ascii="Garamond" w:hAnsi="Garamond" w:cs="Times New Roman"/>
          <w:sz w:val="24"/>
          <w:szCs w:val="24"/>
        </w:rPr>
        <w:t xml:space="preserve"> </w:t>
      </w:r>
      <w:r w:rsidR="003172AF" w:rsidRPr="00F868B0">
        <w:rPr>
          <w:rFonts w:ascii="Garamond" w:hAnsi="Garamond" w:cs="Times New Roman"/>
          <w:sz w:val="24"/>
          <w:szCs w:val="24"/>
        </w:rPr>
        <w:t xml:space="preserve">hal tersebut di atas, terlihat beberapa kejanggalan terkait putusan perkara Nomor: 69/Pdt.G/2009/PN.Pdg., tersebut. kejanggalan tersebut bukan hanya berkenaan dengan </w:t>
      </w:r>
      <w:r w:rsidR="00183AE6" w:rsidRPr="00F868B0">
        <w:rPr>
          <w:rFonts w:ascii="Garamond" w:hAnsi="Garamond" w:cs="Times New Roman"/>
          <w:sz w:val="24"/>
          <w:szCs w:val="24"/>
        </w:rPr>
        <w:t>kewenangan absolut pengadilan, namun juga berkenaan dengan prosedur pelaksanaan hibah wasiat. Hibah wasiat dilaksanakan setelah pewasiat meninggal dunia, akan tetapi dalam kasus ini penerima wasiat telah meninggal lebih dahulu dari penerima wasiat. Oleh sebab itu, berdasarkan ketentuan pasal 899 KUH Perdata hibah wasiat te</w:t>
      </w:r>
      <w:r w:rsidR="008E416B" w:rsidRPr="00F868B0">
        <w:rPr>
          <w:rFonts w:ascii="Garamond" w:hAnsi="Garamond" w:cs="Times New Roman"/>
          <w:sz w:val="24"/>
          <w:szCs w:val="24"/>
        </w:rPr>
        <w:t>rsebut seharusnya menjadi batal.</w:t>
      </w:r>
    </w:p>
    <w:p w:rsidR="006B650D" w:rsidRPr="00F868B0" w:rsidRDefault="00183AE6"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Selain itu, satu hal lagi yang menarik dari perkara Nomor: 69/Pdt.G/2009/PN.Pdg., tersebut adalah, hibah wasiat diberikan lebih dari 1/3 harta peninggalan pewasiat. Hal ini bertentangan dengan ketentuan hukum Islam, berdasarkan hadis Rasulullah SAW., sebagai berikut:</w:t>
      </w:r>
    </w:p>
    <w:p w:rsidR="00183AE6" w:rsidRPr="00F868B0" w:rsidRDefault="00183AE6" w:rsidP="000120A9">
      <w:pPr>
        <w:pStyle w:val="ListParagraph"/>
        <w:bidi/>
        <w:spacing w:after="0"/>
        <w:ind w:left="15"/>
        <w:jc w:val="both"/>
        <w:rPr>
          <w:rFonts w:ascii="Garamond" w:hAnsi="Garamond" w:cs="Traditional Arabic"/>
          <w:sz w:val="24"/>
          <w:szCs w:val="24"/>
        </w:rPr>
      </w:pPr>
      <w:r w:rsidRPr="00F868B0">
        <w:rPr>
          <w:rFonts w:ascii="Garamond" w:hAnsi="Garamond" w:cs="Traditional Arabic" w:hint="eastAsia"/>
          <w:sz w:val="24"/>
          <w:szCs w:val="24"/>
          <w:rtl/>
        </w:rPr>
        <w:t>حَدَّثَنِى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مُحَمّدُ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عَبْدِ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الرَّحِيْمِ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حَدَّثَنَا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زَكَرِيَّاءُ</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عَدِيٍّ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حَدَّثَنَا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مَرْوَانُ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هَاشِمِ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هَاشِمٍ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عَامِرِ</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سَعْدٍ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أَبِيْهِ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رَضِىَ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مَرِضْتُ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فَعَادَنِى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النَّبِيُّ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صلى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عليه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سلم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فقلت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رَسُوْلَ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 </w:t>
      </w:r>
      <w:r w:rsidRPr="00F868B0">
        <w:rPr>
          <w:rFonts w:ascii="Garamond" w:hAnsi="Garamond" w:cs="Traditional Arabic" w:hint="eastAsia"/>
          <w:sz w:val="24"/>
          <w:szCs w:val="24"/>
          <w:rtl/>
        </w:rPr>
        <w:t>ادْعُ</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يَرُدَّنِى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عَقِبِي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لَعَلَّ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يَرْفَعُكَ</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وَيَنْفَعُ</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بِكَ</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نَاسا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قُلْتُ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أُرِيْدُ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أُوْصِيَ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وَإِنَّمَا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ابْنَةٌ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فَقُلْتُ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أُوْصى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بِالنِّصْفِ؟</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النِّصْفُ</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كَثِيْرٌ</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قُلْتُ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فَالثُّلُثُ؟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الثُّلُثُ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وَالثُّلُثُ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كَثِيْرٌ</w:t>
      </w:r>
      <w:r w:rsidRPr="00F868B0">
        <w:rPr>
          <w:rFonts w:ascii="Garamond" w:hAnsi="Garamond" w:cs="Traditional Arabic"/>
          <w:sz w:val="24"/>
          <w:szCs w:val="24"/>
          <w:rtl/>
        </w:rPr>
        <w:t xml:space="preserve"> – </w:t>
      </w:r>
      <w:r w:rsidRPr="00F868B0">
        <w:rPr>
          <w:rFonts w:ascii="Garamond" w:hAnsi="Garamond" w:cs="Traditional Arabic" w:hint="eastAsia"/>
          <w:sz w:val="24"/>
          <w:szCs w:val="24"/>
          <w:rtl/>
        </w:rPr>
        <w:t>أَوْ</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كَبِيْرٌ</w:t>
      </w:r>
      <w:r w:rsidRPr="00F868B0">
        <w:rPr>
          <w:rFonts w:ascii="Garamond" w:hAnsi="Garamond" w:cs="Traditional Arabic"/>
          <w:sz w:val="24"/>
          <w:szCs w:val="24"/>
          <w:rtl/>
        </w:rPr>
        <w:t xml:space="preserve"> –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فَأَوْصَى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النَّاسُ</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بِالثُلُثِ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فَجَازَ</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ذَلِكَ</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لَهُمْ</w:t>
      </w:r>
      <w:r w:rsidRPr="00F868B0">
        <w:rPr>
          <w:rFonts w:ascii="Garamond" w:hAnsi="Garamond" w:cs="Traditional Arabic"/>
          <w:sz w:val="24"/>
          <w:szCs w:val="24"/>
          <w:rtl/>
        </w:rPr>
        <w:t>. (</w:t>
      </w:r>
      <w:r w:rsidRPr="00F868B0">
        <w:rPr>
          <w:rFonts w:ascii="Garamond" w:hAnsi="Garamond" w:cs="Traditional Arabic" w:hint="eastAsia"/>
          <w:sz w:val="24"/>
          <w:szCs w:val="24"/>
          <w:rtl/>
        </w:rPr>
        <w:t>رواه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البخارى</w:t>
      </w:r>
      <w:r w:rsidRPr="00F868B0">
        <w:rPr>
          <w:rFonts w:ascii="Garamond" w:hAnsi="Garamond" w:cs="Traditional Arabic"/>
          <w:sz w:val="24"/>
          <w:szCs w:val="24"/>
          <w:rtl/>
        </w:rPr>
        <w:t>)</w:t>
      </w:r>
      <w:r w:rsidRPr="00F868B0">
        <w:rPr>
          <w:rStyle w:val="FootnoteReference"/>
          <w:rFonts w:ascii="Garamond" w:hAnsi="Garamond"/>
          <w:sz w:val="24"/>
          <w:szCs w:val="24"/>
          <w:rtl/>
        </w:rPr>
        <w:footnoteReference w:id="7"/>
      </w:r>
    </w:p>
    <w:p w:rsidR="00183AE6" w:rsidRPr="00F868B0" w:rsidRDefault="00183AE6" w:rsidP="000120A9">
      <w:pPr>
        <w:pStyle w:val="ListParagraph"/>
        <w:spacing w:after="0"/>
        <w:ind w:left="0"/>
        <w:jc w:val="both"/>
        <w:rPr>
          <w:rFonts w:ascii="Garamond" w:hAnsi="Garamond" w:cs="Times New Roman"/>
          <w:sz w:val="24"/>
          <w:szCs w:val="24"/>
        </w:rPr>
      </w:pPr>
      <w:r w:rsidRPr="00F868B0">
        <w:rPr>
          <w:rFonts w:ascii="Garamond" w:hAnsi="Garamond" w:cs="Times New Roman"/>
          <w:sz w:val="24"/>
          <w:szCs w:val="24"/>
        </w:rPr>
        <w:t>Artinya:</w:t>
      </w:r>
    </w:p>
    <w:p w:rsidR="00183AE6" w:rsidRPr="00F868B0" w:rsidRDefault="00183AE6" w:rsidP="000120A9">
      <w:pPr>
        <w:pStyle w:val="ListParagraph"/>
        <w:spacing w:after="0"/>
        <w:ind w:left="709"/>
        <w:jc w:val="both"/>
        <w:rPr>
          <w:rFonts w:ascii="Garamond" w:hAnsi="Garamond" w:cs="Times New Roman"/>
          <w:i/>
          <w:iCs/>
          <w:sz w:val="24"/>
          <w:szCs w:val="24"/>
        </w:rPr>
      </w:pPr>
      <w:r w:rsidRPr="00F868B0">
        <w:rPr>
          <w:rFonts w:ascii="Garamond" w:hAnsi="Garamond" w:cs="Times New Roman"/>
          <w:i/>
          <w:iCs/>
          <w:sz w:val="24"/>
          <w:szCs w:val="24"/>
        </w:rPr>
        <w:t>“Telah bercerita kepadaku Muhammad ibn ‘Abd al-Ra</w:t>
      </w:r>
      <w:r w:rsidRPr="00F868B0">
        <w:rPr>
          <w:rFonts w:asciiTheme="majorBidi" w:hAnsiTheme="majorBidi" w:cs="Times New Roman"/>
          <w:i/>
          <w:iCs/>
          <w:sz w:val="24"/>
          <w:szCs w:val="24"/>
        </w:rPr>
        <w:t>ḥ</w:t>
      </w:r>
      <w:r w:rsidRPr="00F868B0">
        <w:rPr>
          <w:rFonts w:ascii="Garamond" w:hAnsi="Garamond" w:cs="Times New Roman"/>
          <w:i/>
          <w:iCs/>
          <w:sz w:val="24"/>
          <w:szCs w:val="24"/>
        </w:rPr>
        <w:t xml:space="preserve">īm, telah menceritakan kepada kami Zakariyyā’ ibn ‘Adiy, telah menceritakan kepada </w:t>
      </w:r>
      <w:r w:rsidRPr="00F868B0">
        <w:rPr>
          <w:rFonts w:ascii="Garamond" w:hAnsi="Garamond" w:cs="Times New Roman"/>
          <w:i/>
          <w:iCs/>
          <w:sz w:val="24"/>
          <w:szCs w:val="24"/>
        </w:rPr>
        <w:lastRenderedPageBreak/>
        <w:t>kami Marwān dari Hāsyim ibn Hāsyim dari ‘Āmr ibn Sa’ad dari ayahnya ra., ia berkata: Aku sakit, lalu Nabi SAW., menjengukku. Kemudian aku katakan: Ya Rasulullah, mohonkanlah kepada Allah agar Dia tidak mengembalikan aku kepada keadaan sebelumnya (negeri kafir). Beliau bersabda: Semoga Allah mengangkat derajatmu dengan memberikan manfaat kepada manusia melalui dirimu. Aku berkata: Aku ingin berwasiat, sedangkan aku memiliki seorang anak perempuan. Maka aku bertanya apakah aku boleh berwasiat dengan setengah hartaku? Beliau bersabda: Setengah itu banyak. Aku tanyakan lagi: Sepertiganya? Beliau bersabda: Ya, sepertiga. Sepertiga itu banyak atau besar. Dia (Sa’ad) berkata: Maka kemudian orang-orang berwasiat sepertiga dan beliau (Rasulullah SAW) membolehkannya.” (HR. Bukhārī)</w:t>
      </w:r>
    </w:p>
    <w:p w:rsidR="006B650D" w:rsidRPr="00F868B0" w:rsidRDefault="006B650D" w:rsidP="00F868B0">
      <w:pPr>
        <w:pStyle w:val="ListParagraph"/>
        <w:spacing w:after="0"/>
        <w:ind w:left="1134"/>
        <w:jc w:val="both"/>
        <w:rPr>
          <w:rFonts w:ascii="Garamond" w:hAnsi="Garamond" w:cs="Times New Roman"/>
          <w:sz w:val="24"/>
          <w:szCs w:val="24"/>
        </w:rPr>
      </w:pPr>
    </w:p>
    <w:p w:rsidR="008E416B" w:rsidRPr="000120A9" w:rsidRDefault="00183AE6"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Berdasarkan hadis di atas dapat diketahui bahwa kadar wasiat yang berlaku adalah maksimal 1/3 dari harta pewasiat. Akan tetapi, jika melihat kepada</w:t>
      </w:r>
      <w:r w:rsidR="00275E21" w:rsidRPr="00F868B0">
        <w:rPr>
          <w:rFonts w:ascii="Garamond" w:hAnsi="Garamond" w:cs="Times New Roman"/>
          <w:sz w:val="24"/>
          <w:szCs w:val="24"/>
        </w:rPr>
        <w:t xml:space="preserve"> respon para pihak yang berperkara pada perkara Nomor: 69/Pdt.G/2009/PN.Pdg., tersebut, tidak ada upaya banding yang dilakukan. Artinya, para pihak menerima hasil putusan hakim Pengadilan Negeri Padang dalam perkara hibah wasiat ini.</w:t>
      </w:r>
    </w:p>
    <w:p w:rsidR="008E416B" w:rsidRPr="000120A9" w:rsidRDefault="00275E21"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Persoalannya adalah pada satu sisi memang tidak terdapat upaya hukum dari para pihak yang berperkara, dan putusan pun telah berkekuatan hukum tetap. Namun, pada sisi lain hibah wasiat antara orang-orang yang beragama Islam telah diatur sedemikian rupa dan merupakan pertanggungjawab secara vertika antara manusia dengan Allah serta secara horizontal antar-sesama manusia.</w:t>
      </w:r>
    </w:p>
    <w:p w:rsidR="008E416B" w:rsidRPr="000120A9" w:rsidRDefault="00AA2843"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Berangkat dari latar belakang tersebut di atas, penelitian ini bermaksud untuk menganalisis putusan hakim Pengadilan Negeri Padang Nomor: </w:t>
      </w:r>
      <w:r w:rsidRPr="00F868B0">
        <w:rPr>
          <w:rFonts w:ascii="Garamond" w:hAnsi="Garamond" w:cs="Times New Roman"/>
          <w:sz w:val="24"/>
          <w:szCs w:val="24"/>
        </w:rPr>
        <w:lastRenderedPageBreak/>
        <w:t>69/Pdt.G/2009/PN.Pdg., tentang hibah wasiat ini dan meninjaunya dari sudut pandang</w:t>
      </w:r>
      <w:r w:rsidR="002C4C6B" w:rsidRPr="00F868B0">
        <w:rPr>
          <w:rFonts w:ascii="Garamond" w:hAnsi="Garamond" w:cs="Times New Roman"/>
          <w:sz w:val="24"/>
          <w:szCs w:val="24"/>
        </w:rPr>
        <w:t xml:space="preserve"> hakim yang memutuskan perkara terkait dan dari sudut pandang </w:t>
      </w:r>
      <w:r w:rsidR="008E416B" w:rsidRPr="00F868B0">
        <w:rPr>
          <w:rFonts w:ascii="Garamond" w:hAnsi="Garamond" w:cs="Times New Roman"/>
          <w:sz w:val="24"/>
          <w:szCs w:val="24"/>
        </w:rPr>
        <w:t>hukum Islam.</w:t>
      </w:r>
    </w:p>
    <w:p w:rsidR="006B650D" w:rsidRPr="000120A9" w:rsidRDefault="00F477F0"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Adapun tujuan dari penelitian ini adalah untuk mengungkap argumentasi hakim Pengadilan Negeri mengabulkan perkara hibah wasiat Nomor: 69/Pdt.G/2009/PN.Pdg., dan untuk memaparkan penyelesaian perkara hibah wasiat di Pengadilan Negeri Padang Nomor: 69/Pdt.G/2009/PN.Pdg ditinjau dari hukum Islam.</w:t>
      </w:r>
    </w:p>
    <w:p w:rsidR="00F477F0" w:rsidRPr="00F868B0" w:rsidRDefault="00F477F0"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Selanjutnya, kegunaan penelitian ini secara teoritis adalah untuk menambah wawasan intelektualitas yang luas terkait perkara hibah wasiat antara orang-orang yang beragama Islam dan membantu terselenggaranya hukum yang adil dan selaras dengan ketentuan hukum yang berlaku, baik hukum Islam maupun hukum yang berlaku di Indonesia. Sedangkan secara praktis, penelitian ini diharapkan dapat memberikan kontribusi dalam penerapan hukum Islam, khususnya berkenaan dengan persoalan hibah wasiat, serta menjadi sumbangan pemikiran dan sebagai saran untuk mengarahkan pihak-pihak terkait, yang dalam hal ini pihak yang berperkara, konsultan hukum dan hakim pengadilan.</w:t>
      </w:r>
    </w:p>
    <w:p w:rsidR="000120A9" w:rsidRPr="000120A9" w:rsidRDefault="000120A9" w:rsidP="000120A9">
      <w:pPr>
        <w:spacing w:after="0"/>
        <w:jc w:val="both"/>
        <w:rPr>
          <w:rFonts w:ascii="Garamond" w:hAnsi="Garamond" w:cs="Times New Roman"/>
          <w:sz w:val="24"/>
          <w:szCs w:val="24"/>
        </w:rPr>
      </w:pPr>
    </w:p>
    <w:p w:rsidR="008E416B" w:rsidRPr="000120A9" w:rsidRDefault="008E416B" w:rsidP="000120A9">
      <w:pPr>
        <w:spacing w:after="0"/>
        <w:jc w:val="both"/>
        <w:rPr>
          <w:rFonts w:ascii="Garamond" w:hAnsi="Garamond" w:cs="Times New Roman"/>
          <w:b/>
          <w:sz w:val="24"/>
          <w:szCs w:val="24"/>
        </w:rPr>
      </w:pPr>
      <w:r w:rsidRPr="000120A9">
        <w:rPr>
          <w:rFonts w:ascii="Garamond" w:hAnsi="Garamond" w:cs="Times New Roman"/>
          <w:b/>
          <w:sz w:val="24"/>
          <w:szCs w:val="24"/>
        </w:rPr>
        <w:t>METODE PENELITIAN</w:t>
      </w:r>
    </w:p>
    <w:p w:rsidR="006B650D" w:rsidRPr="000120A9" w:rsidRDefault="003030FF"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Jenis penelitian yang digunakan ad</w:t>
      </w:r>
      <w:r w:rsidR="00FC0817" w:rsidRPr="00F868B0">
        <w:rPr>
          <w:rFonts w:ascii="Garamond" w:hAnsi="Garamond" w:cs="Times New Roman"/>
          <w:sz w:val="24"/>
          <w:szCs w:val="24"/>
        </w:rPr>
        <w:t xml:space="preserve">alah penelitian hukum normatif </w:t>
      </w:r>
      <w:r w:rsidRPr="00F868B0">
        <w:rPr>
          <w:rFonts w:ascii="Garamond" w:hAnsi="Garamond" w:cs="Times New Roman"/>
          <w:sz w:val="24"/>
          <w:szCs w:val="24"/>
        </w:rPr>
        <w:t>(</w:t>
      </w:r>
      <w:r w:rsidRPr="00F868B0">
        <w:rPr>
          <w:rFonts w:ascii="Garamond" w:hAnsi="Garamond" w:cs="Times New Roman"/>
          <w:i/>
          <w:iCs/>
          <w:sz w:val="24"/>
          <w:szCs w:val="24"/>
        </w:rPr>
        <w:t>normative legal research</w:t>
      </w:r>
      <w:r w:rsidRPr="00F868B0">
        <w:rPr>
          <w:rFonts w:ascii="Garamond" w:hAnsi="Garamond" w:cs="Times New Roman"/>
          <w:sz w:val="24"/>
          <w:szCs w:val="24"/>
        </w:rPr>
        <w:t>)</w:t>
      </w:r>
      <w:r w:rsidRPr="00F868B0">
        <w:rPr>
          <w:rStyle w:val="FootnoteReference"/>
          <w:rFonts w:ascii="Garamond" w:hAnsi="Garamond"/>
          <w:sz w:val="24"/>
          <w:szCs w:val="24"/>
        </w:rPr>
        <w:footnoteReference w:id="8"/>
      </w:r>
      <w:r w:rsidRPr="00F868B0">
        <w:rPr>
          <w:rFonts w:ascii="Garamond" w:hAnsi="Garamond" w:cs="Times New Roman"/>
          <w:sz w:val="24"/>
          <w:szCs w:val="24"/>
        </w:rPr>
        <w:t>, yaitu kaj</w:t>
      </w:r>
      <w:r w:rsidR="00FC0817" w:rsidRPr="00F868B0">
        <w:rPr>
          <w:rFonts w:ascii="Garamond" w:hAnsi="Garamond" w:cs="Times New Roman"/>
          <w:sz w:val="24"/>
          <w:szCs w:val="24"/>
        </w:rPr>
        <w:t>ian terhadap sumber-sumber yang</w:t>
      </w:r>
      <w:r w:rsidRPr="00F868B0">
        <w:rPr>
          <w:rFonts w:ascii="Garamond" w:hAnsi="Garamond" w:cs="Times New Roman"/>
          <w:sz w:val="24"/>
          <w:szCs w:val="24"/>
        </w:rPr>
        <w:t xml:space="preserve"> tersedia dengan mengumpulkan, membaca dan menelaah buku-buku, serta menelusuri putusan-putusan Pengadilan Negeri Padang berkaitan dengan permasalahan yang dibahas. Kemudian didukung dengan hasil penelitian di lapangan berupa hasil wawancara dengan majelis hakim yang menerima, </w:t>
      </w:r>
      <w:r w:rsidRPr="00F868B0">
        <w:rPr>
          <w:rFonts w:ascii="Garamond" w:hAnsi="Garamond" w:cs="Times New Roman"/>
          <w:sz w:val="24"/>
          <w:szCs w:val="24"/>
        </w:rPr>
        <w:lastRenderedPageBreak/>
        <w:t>memeriksa dan mengadili perkara hibah wasiat Nomor: 69/Pdt.G/2009/PN.Pdg., untuk selanjutnya ditinjau berdasarkan hukum Islam.</w:t>
      </w:r>
    </w:p>
    <w:p w:rsidR="006B650D" w:rsidRPr="000120A9" w:rsidRDefault="002C4C6B"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Adapun </w:t>
      </w:r>
      <w:r w:rsidRPr="00F868B0">
        <w:rPr>
          <w:rFonts w:ascii="Garamond" w:hAnsi="Garamond" w:cs="Times New Roman"/>
          <w:bCs/>
          <w:sz w:val="24"/>
          <w:szCs w:val="24"/>
        </w:rPr>
        <w:t>j</w:t>
      </w:r>
      <w:r w:rsidR="004A6A2F" w:rsidRPr="00F868B0">
        <w:rPr>
          <w:rFonts w:ascii="Garamond" w:hAnsi="Garamond" w:cs="Times New Roman"/>
          <w:bCs/>
          <w:sz w:val="24"/>
          <w:szCs w:val="24"/>
        </w:rPr>
        <w:t xml:space="preserve">enis data yang digunakan dalam penelitian ini adalah data sekunder berupa peraturan </w:t>
      </w:r>
      <w:r w:rsidR="00FC0817" w:rsidRPr="00F868B0">
        <w:rPr>
          <w:rFonts w:ascii="Garamond" w:hAnsi="Garamond" w:cs="Times New Roman"/>
          <w:bCs/>
          <w:sz w:val="24"/>
          <w:szCs w:val="24"/>
        </w:rPr>
        <w:t xml:space="preserve">perundang-undangan dan register </w:t>
      </w:r>
      <w:r w:rsidR="004A6A2F" w:rsidRPr="000120A9">
        <w:rPr>
          <w:rFonts w:ascii="Garamond" w:hAnsi="Garamond" w:cs="Times New Roman"/>
          <w:sz w:val="24"/>
          <w:szCs w:val="24"/>
        </w:rPr>
        <w:t>perkara</w:t>
      </w:r>
      <w:r w:rsidR="004A6A2F" w:rsidRPr="00F868B0">
        <w:rPr>
          <w:rFonts w:ascii="Garamond" w:hAnsi="Garamond" w:cs="Times New Roman"/>
          <w:bCs/>
          <w:sz w:val="24"/>
          <w:szCs w:val="24"/>
        </w:rPr>
        <w:t xml:space="preserve"> yang berkaitan dengan perkara hibah wasiat antara orang-orang yang beragama Islam di Pengadilan Negeri Padang.</w:t>
      </w:r>
      <w:r w:rsidRPr="00F868B0">
        <w:rPr>
          <w:rFonts w:ascii="Garamond" w:hAnsi="Garamond" w:cs="Times New Roman"/>
          <w:bCs/>
          <w:sz w:val="24"/>
          <w:szCs w:val="24"/>
        </w:rPr>
        <w:t xml:space="preserve"> Sedangkan sumber datanya </w:t>
      </w:r>
      <w:r w:rsidR="004A6A2F" w:rsidRPr="00F868B0">
        <w:rPr>
          <w:rFonts w:ascii="Garamond" w:hAnsi="Garamond" w:cs="Times New Roman"/>
          <w:bCs/>
          <w:sz w:val="24"/>
          <w:szCs w:val="24"/>
        </w:rPr>
        <w:t xml:space="preserve">terdiri bahan hukum primer berupa </w:t>
      </w:r>
      <w:r w:rsidR="004A6A2F" w:rsidRPr="00F868B0">
        <w:rPr>
          <w:rFonts w:ascii="Garamond" w:hAnsi="Garamond" w:cs="Times New Roman"/>
          <w:sz w:val="24"/>
          <w:szCs w:val="24"/>
        </w:rPr>
        <w:t>putusan hakim Pengadilan Negeri Padang Nomor: 69/Pdt.G/2009/PN.Pdg., tentang perkara hibah wasiat</w:t>
      </w:r>
      <w:r w:rsidR="004A6A2F" w:rsidRPr="00F868B0">
        <w:rPr>
          <w:rFonts w:ascii="Garamond" w:hAnsi="Garamond" w:cs="Times New Roman"/>
          <w:bCs/>
          <w:sz w:val="24"/>
          <w:szCs w:val="24"/>
        </w:rPr>
        <w:t xml:space="preserve">, bahan hukum sekunder berupa </w:t>
      </w:r>
      <w:r w:rsidR="004A6A2F" w:rsidRPr="00F868B0">
        <w:rPr>
          <w:rFonts w:ascii="Garamond" w:hAnsi="Garamond" w:cs="Times New Roman"/>
          <w:sz w:val="24"/>
          <w:szCs w:val="24"/>
        </w:rPr>
        <w:t>peraturan perundang-undangan, buku-buku dan kitab-kitab yang berkaitan dengan masalah yang penulis teliti</w:t>
      </w:r>
      <w:r w:rsidR="004A6A2F" w:rsidRPr="00F868B0">
        <w:rPr>
          <w:rFonts w:ascii="Garamond" w:hAnsi="Garamond" w:cs="Times New Roman"/>
          <w:bCs/>
          <w:sz w:val="24"/>
          <w:szCs w:val="24"/>
        </w:rPr>
        <w:t xml:space="preserve">, dan bahan hukum tersier, yaitu </w:t>
      </w:r>
      <w:r w:rsidR="004A6A2F" w:rsidRPr="00F868B0">
        <w:rPr>
          <w:rFonts w:ascii="Garamond" w:hAnsi="Garamond" w:cs="Times New Roman"/>
          <w:sz w:val="24"/>
          <w:szCs w:val="24"/>
        </w:rPr>
        <w:t>bahan hukum yang memberikan penjelasan dan petunjuk terhadap bahan hukum primer dan bahan hukum sekunder, seperti Kamus Hukum, Ensiklopedia Hukum Islam, dan Kamus Bahasa Arab.</w:t>
      </w:r>
    </w:p>
    <w:p w:rsidR="00F868B0" w:rsidRPr="000120A9" w:rsidRDefault="002C4C6B"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sz w:val="24"/>
          <w:szCs w:val="24"/>
        </w:rPr>
        <w:t xml:space="preserve">Untuk terkumpulnya data yang dibutuhkan, digunakan teknik berupa </w:t>
      </w:r>
      <w:r w:rsidR="000F691A" w:rsidRPr="00F868B0">
        <w:rPr>
          <w:rFonts w:ascii="Garamond" w:hAnsi="Garamond" w:cs="Times New Roman"/>
          <w:bCs/>
          <w:sz w:val="24"/>
          <w:szCs w:val="24"/>
        </w:rPr>
        <w:t xml:space="preserve">riset pustaka dan wawancara. Riset pustaka dilaksanakan dengan </w:t>
      </w:r>
      <w:r w:rsidR="000F691A" w:rsidRPr="00F868B0">
        <w:rPr>
          <w:rFonts w:ascii="Garamond" w:hAnsi="Garamond" w:cs="Times New Roman"/>
          <w:sz w:val="24"/>
          <w:szCs w:val="24"/>
        </w:rPr>
        <w:t xml:space="preserve">melakukan penelusuran putusan pada direktori putusan di </w:t>
      </w:r>
      <w:r w:rsidR="000F691A" w:rsidRPr="00F868B0">
        <w:rPr>
          <w:rFonts w:ascii="Garamond" w:hAnsi="Garamond" w:cs="Times New Roman"/>
          <w:iCs/>
          <w:sz w:val="24"/>
          <w:szCs w:val="24"/>
        </w:rPr>
        <w:t>website</w:t>
      </w:r>
      <w:r w:rsidR="000F691A" w:rsidRPr="00F868B0">
        <w:rPr>
          <w:rFonts w:ascii="Garamond" w:hAnsi="Garamond" w:cs="Times New Roman"/>
          <w:sz w:val="24"/>
          <w:szCs w:val="24"/>
        </w:rPr>
        <w:t xml:space="preserve"> Mahkamah Agung Republik Indonesia dan register perkara di Pengadilan Negeri Padang berkenaan dengan perkara hibah wasiat yang diputuskan oleh Pengadilan Negeri Padang.</w:t>
      </w:r>
      <w:r w:rsidRPr="00F868B0">
        <w:rPr>
          <w:rFonts w:ascii="Garamond" w:hAnsi="Garamond" w:cs="Times New Roman"/>
          <w:sz w:val="24"/>
          <w:szCs w:val="24"/>
        </w:rPr>
        <w:t xml:space="preserve"> </w:t>
      </w:r>
      <w:r w:rsidR="000F691A" w:rsidRPr="00F868B0">
        <w:rPr>
          <w:rFonts w:ascii="Garamond" w:hAnsi="Garamond" w:cs="Times New Roman"/>
          <w:bCs/>
          <w:sz w:val="24"/>
          <w:szCs w:val="24"/>
        </w:rPr>
        <w:t xml:space="preserve">Adapun wawancara dilakukan melalui via telepon dan </w:t>
      </w:r>
      <w:r w:rsidR="000F691A" w:rsidRPr="00F868B0">
        <w:rPr>
          <w:rFonts w:ascii="Garamond" w:hAnsi="Garamond" w:cs="Times New Roman"/>
          <w:bCs/>
          <w:i/>
          <w:sz w:val="24"/>
          <w:szCs w:val="24"/>
        </w:rPr>
        <w:t>chatting</w:t>
      </w:r>
      <w:r w:rsidR="000F691A" w:rsidRPr="00F868B0">
        <w:rPr>
          <w:rFonts w:ascii="Garamond" w:hAnsi="Garamond" w:cs="Times New Roman"/>
          <w:bCs/>
          <w:sz w:val="24"/>
          <w:szCs w:val="24"/>
        </w:rPr>
        <w:t xml:space="preserve"> dengan hakim yang menerima dan memutuskan perkara Nomor: 69/Pdt.G/2009/PN.Pdg., tentang hibah wasiat di Pengadilan Negeri. Kemudian, untuk mendukung pertimbangan dari hakim Pengadilan Negeri, juga dilakukan wawancara dengan hakim Pengadilan Agama berkenaan dengan kewenangan mengadili perkara perdata, yang dalam hal ini perkara hibah wasiat oleh pengadilan.</w:t>
      </w:r>
    </w:p>
    <w:p w:rsidR="006B650D" w:rsidRPr="000120A9" w:rsidRDefault="002C4C6B"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bCs/>
          <w:sz w:val="24"/>
          <w:szCs w:val="24"/>
        </w:rPr>
        <w:t xml:space="preserve">Selanjutnya, </w:t>
      </w:r>
      <w:r w:rsidRPr="000120A9">
        <w:rPr>
          <w:rFonts w:ascii="Garamond" w:hAnsi="Garamond" w:cs="Times New Roman"/>
          <w:sz w:val="24"/>
          <w:szCs w:val="24"/>
        </w:rPr>
        <w:t>setelah</w:t>
      </w:r>
      <w:r w:rsidRPr="00F868B0">
        <w:rPr>
          <w:rFonts w:ascii="Garamond" w:hAnsi="Garamond" w:cs="Times New Roman"/>
          <w:bCs/>
          <w:sz w:val="24"/>
          <w:szCs w:val="24"/>
        </w:rPr>
        <w:t xml:space="preserve"> semua data terkumpul, data kemudian dianalisis </w:t>
      </w:r>
      <w:r w:rsidR="00E5319D" w:rsidRPr="00F868B0">
        <w:rPr>
          <w:rFonts w:ascii="Garamond" w:hAnsi="Garamond" w:cs="Times New Roman"/>
          <w:sz w:val="24"/>
          <w:szCs w:val="24"/>
        </w:rPr>
        <w:t xml:space="preserve">menggunakan metode </w:t>
      </w:r>
      <w:r w:rsidR="00E5319D" w:rsidRPr="00F868B0">
        <w:rPr>
          <w:rFonts w:ascii="Garamond" w:hAnsi="Garamond" w:cs="Times New Roman"/>
          <w:i/>
          <w:sz w:val="24"/>
          <w:szCs w:val="24"/>
        </w:rPr>
        <w:lastRenderedPageBreak/>
        <w:t>content analysis</w:t>
      </w:r>
      <w:r w:rsidR="00E5319D" w:rsidRPr="00F868B0">
        <w:rPr>
          <w:rStyle w:val="FootnoteReference"/>
          <w:rFonts w:ascii="Garamond" w:hAnsi="Garamond"/>
          <w:iCs/>
          <w:sz w:val="24"/>
          <w:szCs w:val="24"/>
        </w:rPr>
        <w:footnoteReference w:id="9"/>
      </w:r>
      <w:r w:rsidR="00E5319D" w:rsidRPr="00F868B0">
        <w:rPr>
          <w:rFonts w:ascii="Garamond" w:hAnsi="Garamond" w:cs="Times New Roman"/>
          <w:sz w:val="24"/>
          <w:szCs w:val="24"/>
        </w:rPr>
        <w:t>, yaitu analisis data dilakukan terhadap sejumlah data putusan yang telah dikumpulkan, kemudian dianalisis secara normatif kualitatif untuk mendapatkan hasil penelitian yang deskriptif analisis.</w:t>
      </w:r>
    </w:p>
    <w:p w:rsidR="00F868B0" w:rsidRDefault="00E5319D"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Adapun langkah-langkah analisis putusan yang akan dilaku</w:t>
      </w:r>
      <w:r w:rsidR="002C4C6B" w:rsidRPr="00F868B0">
        <w:rPr>
          <w:rFonts w:ascii="Garamond" w:hAnsi="Garamond" w:cs="Times New Roman"/>
          <w:sz w:val="24"/>
          <w:szCs w:val="24"/>
        </w:rPr>
        <w:t>kan dalam penelitian ini adalah dengan m</w:t>
      </w:r>
      <w:r w:rsidRPr="00F868B0">
        <w:rPr>
          <w:rFonts w:ascii="Garamond" w:hAnsi="Garamond" w:cs="Times New Roman"/>
          <w:sz w:val="24"/>
          <w:szCs w:val="24"/>
        </w:rPr>
        <w:t>enjelaskan duduk perkara yang menjadi dasar putusan hakim dalam penyelesaian perkara hibah wasiat Nomor: 69/Pdt.G/2009/PN.Pdg</w:t>
      </w:r>
      <w:r w:rsidR="002C4C6B" w:rsidRPr="00F868B0">
        <w:rPr>
          <w:rFonts w:ascii="Garamond" w:hAnsi="Garamond" w:cs="Times New Roman"/>
          <w:sz w:val="24"/>
          <w:szCs w:val="24"/>
        </w:rPr>
        <w:t>., kemudian m</w:t>
      </w:r>
      <w:r w:rsidRPr="00F868B0">
        <w:rPr>
          <w:rFonts w:ascii="Garamond" w:hAnsi="Garamond" w:cs="Times New Roman"/>
          <w:sz w:val="24"/>
          <w:szCs w:val="24"/>
        </w:rPr>
        <w:t>enelaah diktum-diktum dalam pertimbangan putusan hakim</w:t>
      </w:r>
      <w:r w:rsidR="002C4C6B" w:rsidRPr="00F868B0">
        <w:rPr>
          <w:rFonts w:ascii="Garamond" w:hAnsi="Garamond" w:cs="Times New Roman"/>
          <w:sz w:val="24"/>
          <w:szCs w:val="24"/>
        </w:rPr>
        <w:t xml:space="preserve"> serta men</w:t>
      </w:r>
      <w:r w:rsidRPr="00F868B0">
        <w:rPr>
          <w:rFonts w:ascii="Garamond" w:hAnsi="Garamond" w:cs="Times New Roman"/>
          <w:sz w:val="24"/>
          <w:szCs w:val="24"/>
        </w:rPr>
        <w:t>ganalisis dasar hukum yang digunakan hakim dalam memutuskan perkara.</w:t>
      </w:r>
      <w:r w:rsidR="002C4C6B" w:rsidRPr="00F868B0">
        <w:rPr>
          <w:rFonts w:ascii="Garamond" w:hAnsi="Garamond" w:cs="Times New Roman"/>
          <w:sz w:val="24"/>
          <w:szCs w:val="24"/>
        </w:rPr>
        <w:t xml:space="preserve"> Kemudian </w:t>
      </w:r>
      <w:r w:rsidRPr="00F868B0">
        <w:rPr>
          <w:rFonts w:ascii="Garamond" w:hAnsi="Garamond" w:cs="Times New Roman"/>
          <w:sz w:val="24"/>
          <w:szCs w:val="24"/>
        </w:rPr>
        <w:t xml:space="preserve">putusan </w:t>
      </w:r>
      <w:r w:rsidR="002C4C6B" w:rsidRPr="00F868B0">
        <w:rPr>
          <w:rFonts w:ascii="Garamond" w:hAnsi="Garamond" w:cs="Times New Roman"/>
          <w:sz w:val="24"/>
          <w:szCs w:val="24"/>
        </w:rPr>
        <w:t xml:space="preserve">dianalisis </w:t>
      </w:r>
      <w:r w:rsidRPr="00F868B0">
        <w:rPr>
          <w:rFonts w:ascii="Garamond" w:hAnsi="Garamond" w:cs="Times New Roman"/>
          <w:sz w:val="24"/>
          <w:szCs w:val="24"/>
        </w:rPr>
        <w:t>dari aspek hukum materil, hukum formil, dan penalaran hukum dan/atau alasan serta argumentasi hakim</w:t>
      </w:r>
      <w:r w:rsidR="002C4C6B" w:rsidRPr="00F868B0">
        <w:rPr>
          <w:rFonts w:ascii="Garamond" w:hAnsi="Garamond" w:cs="Times New Roman"/>
          <w:sz w:val="24"/>
          <w:szCs w:val="24"/>
        </w:rPr>
        <w:t xml:space="preserve">. </w:t>
      </w:r>
      <w:r w:rsidR="008921F6" w:rsidRPr="00F868B0">
        <w:rPr>
          <w:rFonts w:ascii="Garamond" w:hAnsi="Garamond" w:cs="Times New Roman"/>
          <w:sz w:val="24"/>
          <w:szCs w:val="24"/>
        </w:rPr>
        <w:t>Selanjutnya</w:t>
      </w:r>
      <w:r w:rsidR="002C4C6B" w:rsidRPr="00F868B0">
        <w:rPr>
          <w:rFonts w:ascii="Garamond" w:hAnsi="Garamond" w:cs="Times New Roman"/>
          <w:sz w:val="24"/>
          <w:szCs w:val="24"/>
        </w:rPr>
        <w:t>, data yang didapat, yang dalam hal ini berkenaan dengan perkara hibah wasiat, dit</w:t>
      </w:r>
      <w:r w:rsidRPr="00F868B0">
        <w:rPr>
          <w:rFonts w:ascii="Garamond" w:hAnsi="Garamond" w:cs="Times New Roman"/>
          <w:sz w:val="24"/>
          <w:szCs w:val="24"/>
        </w:rPr>
        <w:t xml:space="preserve">elaah </w:t>
      </w:r>
      <w:r w:rsidR="002C4C6B" w:rsidRPr="00F868B0">
        <w:rPr>
          <w:rFonts w:ascii="Garamond" w:hAnsi="Garamond" w:cs="Times New Roman"/>
          <w:sz w:val="24"/>
          <w:szCs w:val="24"/>
        </w:rPr>
        <w:t xml:space="preserve">berdasarkan </w:t>
      </w:r>
      <w:r w:rsidRPr="00F868B0">
        <w:rPr>
          <w:rFonts w:ascii="Garamond" w:hAnsi="Garamond" w:cs="Times New Roman"/>
          <w:sz w:val="24"/>
          <w:szCs w:val="24"/>
        </w:rPr>
        <w:t>ketentuan hukum Isla</w:t>
      </w:r>
      <w:r w:rsidR="002C4C6B" w:rsidRPr="00F868B0">
        <w:rPr>
          <w:rFonts w:ascii="Garamond" w:hAnsi="Garamond" w:cs="Times New Roman"/>
          <w:sz w:val="24"/>
          <w:szCs w:val="24"/>
        </w:rPr>
        <w:t>m</w:t>
      </w:r>
      <w:r w:rsidRPr="00F868B0">
        <w:rPr>
          <w:rFonts w:ascii="Garamond" w:hAnsi="Garamond" w:cs="Times New Roman"/>
          <w:sz w:val="24"/>
          <w:szCs w:val="24"/>
        </w:rPr>
        <w:t>.</w:t>
      </w:r>
      <w:r w:rsidR="008921F6" w:rsidRPr="00F868B0">
        <w:rPr>
          <w:rFonts w:ascii="Garamond" w:hAnsi="Garamond" w:cs="Times New Roman"/>
          <w:sz w:val="24"/>
          <w:szCs w:val="24"/>
        </w:rPr>
        <w:t xml:space="preserve"> Terakhir, data di</w:t>
      </w:r>
      <w:r w:rsidRPr="00F868B0">
        <w:rPr>
          <w:rFonts w:ascii="Garamond" w:hAnsi="Garamond" w:cs="Times New Roman"/>
          <w:sz w:val="24"/>
          <w:szCs w:val="24"/>
        </w:rPr>
        <w:t xml:space="preserve">analisis </w:t>
      </w:r>
      <w:r w:rsidR="002A6FDA" w:rsidRPr="00F868B0">
        <w:rPr>
          <w:rFonts w:ascii="Garamond" w:hAnsi="Garamond" w:cs="Times New Roman"/>
          <w:sz w:val="24"/>
          <w:szCs w:val="24"/>
        </w:rPr>
        <w:t>serta</w:t>
      </w:r>
      <w:r w:rsidRPr="00F868B0">
        <w:rPr>
          <w:rFonts w:ascii="Garamond" w:hAnsi="Garamond" w:cs="Times New Roman"/>
          <w:sz w:val="24"/>
          <w:szCs w:val="24"/>
        </w:rPr>
        <w:t xml:space="preserve"> </w:t>
      </w:r>
      <w:r w:rsidR="008921F6" w:rsidRPr="00F868B0">
        <w:rPr>
          <w:rFonts w:ascii="Garamond" w:hAnsi="Garamond" w:cs="Times New Roman"/>
          <w:sz w:val="24"/>
          <w:szCs w:val="24"/>
        </w:rPr>
        <w:t>dit</w:t>
      </w:r>
      <w:r w:rsidRPr="00F868B0">
        <w:rPr>
          <w:rFonts w:ascii="Garamond" w:hAnsi="Garamond" w:cs="Times New Roman"/>
          <w:sz w:val="24"/>
          <w:szCs w:val="24"/>
        </w:rPr>
        <w:t xml:space="preserve">arik kesimpulan </w:t>
      </w:r>
      <w:r w:rsidR="008921F6" w:rsidRPr="00F868B0">
        <w:rPr>
          <w:rFonts w:ascii="Garamond" w:hAnsi="Garamond" w:cs="Times New Roman"/>
          <w:sz w:val="24"/>
          <w:szCs w:val="24"/>
        </w:rPr>
        <w:t xml:space="preserve">mengenai </w:t>
      </w:r>
      <w:r w:rsidRPr="00F868B0">
        <w:rPr>
          <w:rFonts w:ascii="Garamond" w:hAnsi="Garamond" w:cs="Times New Roman"/>
          <w:sz w:val="24"/>
          <w:szCs w:val="24"/>
        </w:rPr>
        <w:t xml:space="preserve">putusan hakim dalam perkara hibah wasiat Nomor: 69/Pdt.G/2009/PN.Pdg., </w:t>
      </w:r>
      <w:r w:rsidR="002A6FDA" w:rsidRPr="00F868B0">
        <w:rPr>
          <w:rFonts w:ascii="Garamond" w:hAnsi="Garamond" w:cs="Times New Roman"/>
          <w:sz w:val="24"/>
          <w:szCs w:val="24"/>
        </w:rPr>
        <w:t>dan</w:t>
      </w:r>
      <w:r w:rsidR="008921F6" w:rsidRPr="00F868B0">
        <w:rPr>
          <w:rFonts w:ascii="Garamond" w:hAnsi="Garamond" w:cs="Times New Roman"/>
          <w:sz w:val="24"/>
          <w:szCs w:val="24"/>
        </w:rPr>
        <w:t xml:space="preserve"> kemudian</w:t>
      </w:r>
      <w:r w:rsidRPr="00F868B0">
        <w:rPr>
          <w:rFonts w:ascii="Garamond" w:hAnsi="Garamond" w:cs="Times New Roman"/>
          <w:sz w:val="24"/>
          <w:szCs w:val="24"/>
        </w:rPr>
        <w:t xml:space="preserve"> </w:t>
      </w:r>
      <w:r w:rsidR="008921F6" w:rsidRPr="00F868B0">
        <w:rPr>
          <w:rFonts w:ascii="Garamond" w:hAnsi="Garamond" w:cs="Times New Roman"/>
          <w:sz w:val="24"/>
          <w:szCs w:val="24"/>
        </w:rPr>
        <w:t>hasil penelitian dip</w:t>
      </w:r>
      <w:r w:rsidRPr="00F868B0">
        <w:rPr>
          <w:rFonts w:ascii="Garamond" w:hAnsi="Garamond" w:cs="Times New Roman"/>
          <w:sz w:val="24"/>
          <w:szCs w:val="24"/>
        </w:rPr>
        <w:t>aparkan secara deskriptif analisis.</w:t>
      </w:r>
    </w:p>
    <w:p w:rsidR="00F868B0" w:rsidRPr="00F868B0" w:rsidRDefault="00F868B0" w:rsidP="00F868B0">
      <w:pPr>
        <w:pStyle w:val="ListParagraph1"/>
        <w:spacing w:after="0"/>
        <w:ind w:left="851"/>
        <w:jc w:val="both"/>
        <w:rPr>
          <w:rFonts w:ascii="Garamond" w:hAnsi="Garamond"/>
          <w:sz w:val="24"/>
          <w:szCs w:val="24"/>
        </w:rPr>
      </w:pPr>
    </w:p>
    <w:p w:rsidR="006B650D" w:rsidRPr="000120A9" w:rsidRDefault="006B650D" w:rsidP="000120A9">
      <w:pPr>
        <w:spacing w:after="0"/>
        <w:jc w:val="both"/>
        <w:rPr>
          <w:rFonts w:ascii="Garamond" w:hAnsi="Garamond" w:cs="Times New Roman"/>
          <w:b/>
          <w:bCs/>
          <w:sz w:val="24"/>
          <w:szCs w:val="24"/>
        </w:rPr>
      </w:pPr>
      <w:r w:rsidRPr="000120A9">
        <w:rPr>
          <w:rFonts w:ascii="Garamond" w:hAnsi="Garamond" w:cs="Times New Roman"/>
          <w:b/>
          <w:sz w:val="24"/>
          <w:szCs w:val="24"/>
        </w:rPr>
        <w:t xml:space="preserve">PENYELESAIAN PERKARA HIBAH WASIAT NOMOR: </w:t>
      </w:r>
      <w:r w:rsidRPr="000120A9">
        <w:rPr>
          <w:rFonts w:ascii="Garamond" w:hAnsi="Garamond" w:cs="Times New Roman"/>
          <w:b/>
          <w:bCs/>
          <w:sz w:val="24"/>
          <w:szCs w:val="24"/>
        </w:rPr>
        <w:t>69/PDT.G/2009/PN.PDG., DI PENGADILAN NEGERI PADANG DALAM PANDANGAN HAKIM DAN HUKUM ISLAM</w:t>
      </w:r>
    </w:p>
    <w:p w:rsidR="006B650D" w:rsidRPr="00F868B0" w:rsidRDefault="00F46850"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Sebagaimana telah dipaparkan sebelumnya bahwa hibah wasiat hanya terdapat dalam literatur KUH Perdata. Sedangkan dalam literatur hukum Islam hanya dikenal wasiat. Namun, sejatinya </w:t>
      </w:r>
      <w:r w:rsidRPr="00F868B0">
        <w:rPr>
          <w:rFonts w:ascii="Garamond" w:hAnsi="Garamond" w:cs="Times New Roman"/>
          <w:sz w:val="24"/>
          <w:szCs w:val="24"/>
        </w:rPr>
        <w:lastRenderedPageBreak/>
        <w:t>hibah wasiat adalah bagian dari wasiat itu sendiri dan memiliki kesamaan terkait pelaksanaannya.</w:t>
      </w:r>
    </w:p>
    <w:p w:rsidR="006B650D" w:rsidRPr="000120A9" w:rsidRDefault="00F46850"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sz w:val="24"/>
          <w:szCs w:val="24"/>
        </w:rPr>
        <w:t xml:space="preserve">Hibah wasiat dalam KUH Perdata disebut juga dengan istilah </w:t>
      </w:r>
      <w:r w:rsidRPr="00F868B0">
        <w:rPr>
          <w:rFonts w:ascii="Garamond" w:hAnsi="Garamond" w:cs="Times New Roman"/>
          <w:i/>
          <w:sz w:val="24"/>
          <w:szCs w:val="24"/>
        </w:rPr>
        <w:t>legaat</w:t>
      </w:r>
      <w:r w:rsidRPr="00F868B0">
        <w:rPr>
          <w:rFonts w:ascii="Garamond" w:hAnsi="Garamond" w:cs="Times New Roman"/>
          <w:sz w:val="24"/>
          <w:szCs w:val="24"/>
        </w:rPr>
        <w:t>. Hibah wasiat merupakan bagian dari wasiat jika ditinjau dari segi isinya, yaitu wasiat pengangkatan ahli waris (</w:t>
      </w:r>
      <w:r w:rsidRPr="00F868B0">
        <w:rPr>
          <w:rFonts w:ascii="Garamond" w:hAnsi="Garamond" w:cs="Times New Roman"/>
          <w:i/>
          <w:sz w:val="24"/>
          <w:szCs w:val="24"/>
        </w:rPr>
        <w:t>erfstelling</w:t>
      </w:r>
      <w:r w:rsidRPr="00F868B0">
        <w:rPr>
          <w:rFonts w:ascii="Garamond" w:hAnsi="Garamond" w:cs="Times New Roman"/>
          <w:sz w:val="24"/>
          <w:szCs w:val="24"/>
        </w:rPr>
        <w:t xml:space="preserve">) dan </w:t>
      </w:r>
      <w:r w:rsidRPr="00F868B0">
        <w:rPr>
          <w:rFonts w:ascii="Garamond" w:hAnsi="Garamond" w:cs="Times New Roman"/>
          <w:bCs/>
          <w:sz w:val="24"/>
          <w:szCs w:val="24"/>
        </w:rPr>
        <w:t>wasiat hibah atau hibah wasiat (</w:t>
      </w:r>
      <w:r w:rsidRPr="00F868B0">
        <w:rPr>
          <w:rFonts w:ascii="Garamond" w:hAnsi="Garamond" w:cs="Times New Roman"/>
          <w:bCs/>
          <w:i/>
          <w:sz w:val="24"/>
          <w:szCs w:val="24"/>
        </w:rPr>
        <w:t>legaat</w:t>
      </w:r>
      <w:r w:rsidRPr="00F868B0">
        <w:rPr>
          <w:rFonts w:ascii="Garamond" w:hAnsi="Garamond" w:cs="Times New Roman"/>
          <w:bCs/>
          <w:sz w:val="24"/>
          <w:szCs w:val="24"/>
        </w:rPr>
        <w:t>).</w:t>
      </w:r>
    </w:p>
    <w:p w:rsidR="006B650D" w:rsidRPr="00F868B0" w:rsidRDefault="00F46850"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Wasiat dengan berisi </w:t>
      </w:r>
      <w:r w:rsidRPr="00F868B0">
        <w:rPr>
          <w:rFonts w:ascii="Garamond" w:hAnsi="Garamond" w:cs="Times New Roman"/>
          <w:iCs/>
          <w:sz w:val="24"/>
          <w:szCs w:val="24"/>
        </w:rPr>
        <w:t>legaat</w:t>
      </w:r>
      <w:r w:rsidRPr="00F868B0">
        <w:rPr>
          <w:rFonts w:ascii="Garamond" w:hAnsi="Garamond" w:cs="Times New Roman"/>
          <w:sz w:val="24"/>
          <w:szCs w:val="24"/>
        </w:rPr>
        <w:t xml:space="preserve"> atau hibah wasiat, yaitu suatu penetapan wasiat secara khusus dari pewasiat mengenai pemberian beberapa barang tertentu atau hak pakai dari sebagian atau seluruh harta peninggalan pewasiat kepada satu orang atau lebih.</w:t>
      </w:r>
      <w:r w:rsidRPr="00F868B0">
        <w:rPr>
          <w:rStyle w:val="FootnoteReference"/>
          <w:rFonts w:ascii="Garamond" w:hAnsi="Garamond"/>
          <w:sz w:val="24"/>
          <w:szCs w:val="24"/>
        </w:rPr>
        <w:footnoteReference w:id="10"/>
      </w:r>
    </w:p>
    <w:p w:rsidR="002A6FDA" w:rsidRPr="00F868B0" w:rsidRDefault="00FB65A5"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Adapun dalam perspektif hukum Islam, w</w:t>
      </w:r>
      <w:r w:rsidR="00F46850" w:rsidRPr="00F868B0">
        <w:rPr>
          <w:rFonts w:ascii="Garamond" w:hAnsi="Garamond" w:cs="Times New Roman"/>
          <w:sz w:val="24"/>
          <w:szCs w:val="24"/>
        </w:rPr>
        <w:t>asiat secara etimologi berasal dari bahasa Arab “</w:t>
      </w:r>
      <w:r w:rsidR="00F46850" w:rsidRPr="00F868B0">
        <w:rPr>
          <w:rFonts w:ascii="Garamond" w:hAnsi="Garamond" w:cs="Times New Roman"/>
          <w:i/>
          <w:iCs/>
          <w:sz w:val="24"/>
          <w:szCs w:val="24"/>
        </w:rPr>
        <w:t>wa</w:t>
      </w:r>
      <w:r w:rsidR="00F46850" w:rsidRPr="00F868B0">
        <w:rPr>
          <w:rFonts w:asciiTheme="majorBidi" w:hAnsiTheme="majorBidi" w:cs="Times New Roman"/>
          <w:i/>
          <w:iCs/>
          <w:sz w:val="24"/>
          <w:szCs w:val="24"/>
        </w:rPr>
        <w:t>ṣ</w:t>
      </w:r>
      <w:r w:rsidR="00F46850" w:rsidRPr="00F868B0">
        <w:rPr>
          <w:rFonts w:ascii="Garamond" w:hAnsi="Garamond" w:cs="Times New Roman"/>
          <w:i/>
          <w:iCs/>
          <w:sz w:val="24"/>
          <w:szCs w:val="24"/>
        </w:rPr>
        <w:t>a</w:t>
      </w:r>
      <w:r w:rsidR="00F46850" w:rsidRPr="00F868B0">
        <w:rPr>
          <w:rFonts w:ascii="Garamond" w:hAnsi="Garamond" w:cs="Times New Roman"/>
          <w:sz w:val="24"/>
          <w:szCs w:val="24"/>
        </w:rPr>
        <w:t>” yang berarti menyampaikan atau memberi pesan atau pengampuan.</w:t>
      </w:r>
      <w:r w:rsidR="00F46850" w:rsidRPr="00F868B0">
        <w:rPr>
          <w:rFonts w:ascii="Garamond" w:hAnsi="Garamond" w:cs="Times New Roman"/>
          <w:sz w:val="24"/>
          <w:szCs w:val="24"/>
          <w:vertAlign w:val="superscript"/>
        </w:rPr>
        <w:footnoteReference w:id="11"/>
      </w:r>
      <w:r w:rsidR="00F46850" w:rsidRPr="00F868B0">
        <w:rPr>
          <w:rFonts w:ascii="Garamond" w:hAnsi="Garamond" w:cs="Times New Roman"/>
          <w:sz w:val="24"/>
          <w:szCs w:val="24"/>
        </w:rPr>
        <w:t xml:space="preserve"> Kata “wasiat” setidaknya disebutkan sebanyak 32 kali</w:t>
      </w:r>
      <w:r w:rsidR="00F46850" w:rsidRPr="00F868B0">
        <w:rPr>
          <w:rFonts w:ascii="Garamond" w:hAnsi="Garamond" w:cs="Times New Roman"/>
          <w:sz w:val="24"/>
          <w:szCs w:val="24"/>
          <w:vertAlign w:val="superscript"/>
        </w:rPr>
        <w:footnoteReference w:id="12"/>
      </w:r>
      <w:r w:rsidR="00F46850" w:rsidRPr="00F868B0">
        <w:rPr>
          <w:rFonts w:ascii="Garamond" w:hAnsi="Garamond" w:cs="Times New Roman"/>
          <w:sz w:val="24"/>
          <w:szCs w:val="24"/>
        </w:rPr>
        <w:t xml:space="preserve"> di dalam al-Qur’an, diantaranya memiliki makna </w:t>
      </w:r>
      <w:r w:rsidR="00F46850" w:rsidRPr="00F868B0">
        <w:rPr>
          <w:rFonts w:ascii="Garamond" w:hAnsi="Garamond" w:cs="Times New Roman"/>
          <w:sz w:val="24"/>
          <w:szCs w:val="24"/>
        </w:rPr>
        <w:lastRenderedPageBreak/>
        <w:t>memerintahkan</w:t>
      </w:r>
      <w:r w:rsidR="00F46850" w:rsidRPr="00F868B0">
        <w:rPr>
          <w:rFonts w:ascii="Garamond" w:hAnsi="Garamond" w:cs="Times New Roman"/>
          <w:sz w:val="24"/>
          <w:szCs w:val="24"/>
          <w:vertAlign w:val="superscript"/>
        </w:rPr>
        <w:footnoteReference w:id="13"/>
      </w:r>
      <w:r w:rsidR="00F46850" w:rsidRPr="00F868B0">
        <w:rPr>
          <w:rFonts w:ascii="Garamond" w:hAnsi="Garamond" w:cs="Times New Roman"/>
          <w:sz w:val="24"/>
          <w:szCs w:val="24"/>
        </w:rPr>
        <w:t>, mewajibkan</w:t>
      </w:r>
      <w:r w:rsidR="00F46850" w:rsidRPr="00F868B0">
        <w:rPr>
          <w:rFonts w:ascii="Garamond" w:hAnsi="Garamond" w:cs="Times New Roman"/>
          <w:sz w:val="24"/>
          <w:szCs w:val="24"/>
          <w:vertAlign w:val="superscript"/>
        </w:rPr>
        <w:footnoteReference w:id="14"/>
      </w:r>
      <w:r w:rsidR="00F46850" w:rsidRPr="00F868B0">
        <w:rPr>
          <w:rFonts w:ascii="Garamond" w:hAnsi="Garamond" w:cs="Times New Roman"/>
          <w:sz w:val="24"/>
          <w:szCs w:val="24"/>
        </w:rPr>
        <w:t xml:space="preserve"> dan mensyari’atkan</w:t>
      </w:r>
      <w:r w:rsidR="00F46850" w:rsidRPr="00F868B0">
        <w:rPr>
          <w:rFonts w:ascii="Garamond" w:hAnsi="Garamond" w:cs="Times New Roman"/>
          <w:sz w:val="24"/>
          <w:szCs w:val="24"/>
          <w:vertAlign w:val="superscript"/>
        </w:rPr>
        <w:footnoteReference w:id="15"/>
      </w:r>
      <w:r w:rsidR="00F46850" w:rsidRPr="00F868B0">
        <w:rPr>
          <w:rFonts w:ascii="Garamond" w:hAnsi="Garamond" w:cs="Times New Roman"/>
          <w:sz w:val="24"/>
          <w:szCs w:val="24"/>
        </w:rPr>
        <w:t>.</w:t>
      </w:r>
    </w:p>
    <w:p w:rsidR="00FB65A5" w:rsidRPr="00F868B0" w:rsidRDefault="00FB65A5"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Sedangkan wasiat secara terminologi, terdapat beberapa pendapat ulama, yaitu:</w:t>
      </w:r>
    </w:p>
    <w:p w:rsidR="006B650D" w:rsidRPr="00F868B0" w:rsidRDefault="006B650D" w:rsidP="00F868B0">
      <w:pPr>
        <w:spacing w:after="0"/>
        <w:ind w:left="284" w:firstLine="709"/>
        <w:jc w:val="both"/>
        <w:rPr>
          <w:rFonts w:ascii="Garamond" w:hAnsi="Garamond" w:cs="Times New Roman"/>
          <w:sz w:val="24"/>
          <w:szCs w:val="24"/>
        </w:rPr>
      </w:pPr>
    </w:p>
    <w:p w:rsidR="00FB65A5" w:rsidRPr="00F868B0" w:rsidRDefault="00FB65A5" w:rsidP="000120A9">
      <w:pPr>
        <w:pStyle w:val="ListParagraph"/>
        <w:numPr>
          <w:ilvl w:val="0"/>
          <w:numId w:val="9"/>
        </w:numPr>
        <w:spacing w:after="0"/>
        <w:ind w:left="284" w:hanging="284"/>
        <w:jc w:val="both"/>
        <w:rPr>
          <w:rFonts w:ascii="Garamond" w:hAnsi="Garamond" w:cs="Times New Roman"/>
          <w:sz w:val="24"/>
          <w:szCs w:val="24"/>
        </w:rPr>
      </w:pPr>
      <w:r w:rsidRPr="00F868B0">
        <w:rPr>
          <w:rFonts w:ascii="Garamond" w:hAnsi="Garamond" w:cs="Times New Roman"/>
          <w:sz w:val="24"/>
          <w:szCs w:val="24"/>
        </w:rPr>
        <w:t>Menurut ulama Mazhab Syafi’i, wasiat adalah:</w:t>
      </w:r>
    </w:p>
    <w:p w:rsidR="00FB65A5" w:rsidRPr="00F868B0" w:rsidRDefault="00FB65A5" w:rsidP="00F868B0">
      <w:pPr>
        <w:pStyle w:val="ListParagraph"/>
        <w:bidi/>
        <w:spacing w:after="0"/>
        <w:ind w:left="0"/>
        <w:jc w:val="both"/>
        <w:rPr>
          <w:rFonts w:ascii="Garamond" w:hAnsi="Garamond" w:cs="Times New Roman"/>
          <w:sz w:val="24"/>
          <w:szCs w:val="24"/>
          <w:rtl/>
        </w:rPr>
      </w:pPr>
      <w:r w:rsidRPr="00F868B0">
        <w:rPr>
          <w:rFonts w:ascii="Garamond" w:hAnsi="Garamond" w:cs="Traditional Arabic" w:hint="eastAsia"/>
          <w:sz w:val="24"/>
          <w:szCs w:val="24"/>
          <w:rtl/>
        </w:rPr>
        <w:t>الوَصِيَّةُ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تبرّع</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بِحَقِّ</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مُضَاف</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إِلَى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بَعْدَ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الموْتِ</w:t>
      </w:r>
      <w:r w:rsidRPr="00F868B0">
        <w:rPr>
          <w:rFonts w:ascii="Garamond" w:hAnsi="Garamond" w:cs="Traditional Arabic"/>
          <w:sz w:val="24"/>
          <w:szCs w:val="24"/>
          <w:rtl/>
        </w:rPr>
        <w:t>.</w:t>
      </w:r>
      <w:r w:rsidRPr="00F868B0">
        <w:rPr>
          <w:rStyle w:val="FootnoteReference"/>
          <w:rFonts w:ascii="Garamond" w:hAnsi="Garamond"/>
          <w:sz w:val="24"/>
          <w:szCs w:val="24"/>
          <w:rtl/>
        </w:rPr>
        <w:footnoteReference w:id="16"/>
      </w:r>
    </w:p>
    <w:p w:rsidR="00FB65A5" w:rsidRPr="00F868B0" w:rsidRDefault="00FB65A5" w:rsidP="000120A9">
      <w:pPr>
        <w:pStyle w:val="ListParagraph"/>
        <w:spacing w:after="0"/>
        <w:ind w:left="284"/>
        <w:jc w:val="both"/>
        <w:rPr>
          <w:rFonts w:ascii="Garamond" w:hAnsi="Garamond" w:cs="Times New Roman"/>
          <w:sz w:val="24"/>
          <w:szCs w:val="24"/>
        </w:rPr>
      </w:pPr>
      <w:r w:rsidRPr="00F868B0">
        <w:rPr>
          <w:rFonts w:ascii="Garamond" w:hAnsi="Garamond" w:cs="Times New Roman"/>
          <w:sz w:val="24"/>
          <w:szCs w:val="24"/>
        </w:rPr>
        <w:t>Artinya:</w:t>
      </w:r>
    </w:p>
    <w:p w:rsidR="00FB65A5" w:rsidRPr="00F868B0" w:rsidRDefault="00FB65A5" w:rsidP="000120A9">
      <w:pPr>
        <w:pStyle w:val="ListParagraph"/>
        <w:spacing w:after="0"/>
        <w:ind w:left="993"/>
        <w:jc w:val="both"/>
        <w:rPr>
          <w:rFonts w:ascii="Garamond" w:hAnsi="Garamond" w:cs="Times New Roman"/>
          <w:i/>
          <w:sz w:val="24"/>
          <w:szCs w:val="24"/>
        </w:rPr>
      </w:pPr>
      <w:r w:rsidRPr="00F868B0">
        <w:rPr>
          <w:rFonts w:ascii="Garamond" w:hAnsi="Garamond" w:cs="Times New Roman"/>
          <w:i/>
          <w:sz w:val="24"/>
          <w:szCs w:val="24"/>
        </w:rPr>
        <w:t>“Wasiat adalah suatu perbuatan baik dengan memberikan hak yang pelaksanaannya berlaku setelah wafat (pewasiat).”</w:t>
      </w:r>
    </w:p>
    <w:p w:rsidR="00FB65A5" w:rsidRPr="00F868B0" w:rsidRDefault="00FB65A5" w:rsidP="00F868B0">
      <w:pPr>
        <w:pStyle w:val="ListParagraph"/>
        <w:spacing w:after="0"/>
        <w:ind w:left="1701"/>
        <w:jc w:val="both"/>
        <w:rPr>
          <w:rFonts w:ascii="Garamond" w:hAnsi="Garamond" w:cs="Times New Roman"/>
          <w:sz w:val="24"/>
          <w:szCs w:val="24"/>
        </w:rPr>
      </w:pPr>
    </w:p>
    <w:p w:rsidR="00FB65A5" w:rsidRPr="00F868B0" w:rsidRDefault="00FB65A5" w:rsidP="000120A9">
      <w:pPr>
        <w:pStyle w:val="ListParagraph"/>
        <w:numPr>
          <w:ilvl w:val="0"/>
          <w:numId w:val="9"/>
        </w:numPr>
        <w:spacing w:after="0"/>
        <w:ind w:left="284" w:hanging="284"/>
        <w:jc w:val="both"/>
        <w:rPr>
          <w:rFonts w:ascii="Garamond" w:hAnsi="Garamond" w:cs="Times New Roman"/>
          <w:sz w:val="24"/>
          <w:szCs w:val="24"/>
        </w:rPr>
      </w:pPr>
      <w:r w:rsidRPr="00F868B0">
        <w:rPr>
          <w:rFonts w:ascii="Garamond" w:hAnsi="Garamond" w:cs="Times New Roman"/>
          <w:sz w:val="24"/>
          <w:szCs w:val="24"/>
        </w:rPr>
        <w:t>Menurut ulama Mazhab Hanafi, definisi wasiat adalah sebagai berikut:</w:t>
      </w:r>
    </w:p>
    <w:p w:rsidR="00FB65A5" w:rsidRPr="00F868B0" w:rsidRDefault="00FB65A5" w:rsidP="00F868B0">
      <w:pPr>
        <w:pStyle w:val="ListParagraph"/>
        <w:bidi/>
        <w:spacing w:after="0"/>
        <w:ind w:left="0" w:right="567"/>
        <w:jc w:val="both"/>
        <w:rPr>
          <w:rFonts w:ascii="Garamond" w:hAnsi="Garamond" w:cs="Traditional Arabic"/>
          <w:sz w:val="24"/>
          <w:szCs w:val="24"/>
        </w:rPr>
      </w:pPr>
      <w:r w:rsidRPr="00F868B0">
        <w:rPr>
          <w:rFonts w:ascii="Garamond" w:hAnsi="Garamond" w:cs="Traditional Arabic" w:hint="eastAsia"/>
          <w:sz w:val="24"/>
          <w:szCs w:val="24"/>
          <w:rtl/>
        </w:rPr>
        <w:t>تَمْلِيْكُ</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مُضَاف</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إِلَى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بَعْدَ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الموْتِ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بِطَرِيْقِ</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التَّبرّع</w:t>
      </w:r>
      <w:r w:rsidRPr="00F868B0">
        <w:rPr>
          <w:rFonts w:ascii="Garamond" w:hAnsi="Garamond" w:cs="Traditional Arabic"/>
          <w:sz w:val="24"/>
          <w:szCs w:val="24"/>
          <w:rtl/>
        </w:rPr>
        <w:t>.</w:t>
      </w:r>
      <w:r w:rsidRPr="00F868B0">
        <w:rPr>
          <w:rStyle w:val="FootnoteReference"/>
          <w:rFonts w:ascii="Garamond" w:hAnsi="Garamond"/>
          <w:sz w:val="24"/>
          <w:szCs w:val="24"/>
          <w:rtl/>
        </w:rPr>
        <w:footnoteReference w:id="17"/>
      </w:r>
    </w:p>
    <w:p w:rsidR="00FB65A5" w:rsidRPr="00F868B0" w:rsidRDefault="00FB65A5" w:rsidP="000120A9">
      <w:pPr>
        <w:pStyle w:val="ListParagraph"/>
        <w:spacing w:after="0"/>
        <w:ind w:left="284"/>
        <w:jc w:val="both"/>
        <w:rPr>
          <w:rFonts w:ascii="Garamond" w:hAnsi="Garamond" w:cs="Times New Roman"/>
          <w:sz w:val="24"/>
          <w:szCs w:val="24"/>
        </w:rPr>
      </w:pPr>
      <w:r w:rsidRPr="00F868B0">
        <w:rPr>
          <w:rFonts w:ascii="Garamond" w:hAnsi="Garamond" w:cs="Times New Roman"/>
          <w:sz w:val="24"/>
          <w:szCs w:val="24"/>
        </w:rPr>
        <w:lastRenderedPageBreak/>
        <w:t>Artinya:</w:t>
      </w:r>
    </w:p>
    <w:p w:rsidR="00FB65A5" w:rsidRPr="00F868B0" w:rsidRDefault="00FB65A5" w:rsidP="000120A9">
      <w:pPr>
        <w:pStyle w:val="ListParagraph"/>
        <w:spacing w:after="0"/>
        <w:ind w:left="993"/>
        <w:jc w:val="both"/>
        <w:rPr>
          <w:rFonts w:ascii="Garamond" w:hAnsi="Garamond" w:cs="Times New Roman"/>
          <w:i/>
          <w:iCs/>
          <w:sz w:val="24"/>
          <w:szCs w:val="24"/>
        </w:rPr>
      </w:pPr>
      <w:r w:rsidRPr="00F868B0">
        <w:rPr>
          <w:rFonts w:ascii="Garamond" w:hAnsi="Garamond" w:cs="Times New Roman"/>
          <w:i/>
          <w:iCs/>
          <w:sz w:val="24"/>
          <w:szCs w:val="24"/>
        </w:rPr>
        <w:t>“Pemberian hak milik setelah pewasiatnya meninggal dunia dengan jalan sukarela.”</w:t>
      </w:r>
    </w:p>
    <w:p w:rsidR="00FB65A5" w:rsidRPr="00F868B0" w:rsidRDefault="00FB65A5" w:rsidP="00F868B0">
      <w:pPr>
        <w:pStyle w:val="ListParagraph"/>
        <w:spacing w:after="0"/>
        <w:ind w:left="1701"/>
        <w:jc w:val="both"/>
        <w:rPr>
          <w:rFonts w:ascii="Garamond" w:hAnsi="Garamond" w:cs="Times New Roman"/>
          <w:sz w:val="24"/>
          <w:szCs w:val="24"/>
        </w:rPr>
      </w:pPr>
    </w:p>
    <w:p w:rsidR="00FB65A5" w:rsidRPr="00F868B0" w:rsidRDefault="00FB65A5" w:rsidP="000120A9">
      <w:pPr>
        <w:pStyle w:val="ListParagraph"/>
        <w:numPr>
          <w:ilvl w:val="0"/>
          <w:numId w:val="9"/>
        </w:numPr>
        <w:spacing w:after="0"/>
        <w:ind w:left="284" w:hanging="284"/>
        <w:jc w:val="both"/>
        <w:rPr>
          <w:rFonts w:ascii="Garamond" w:hAnsi="Garamond" w:cs="Times New Roman"/>
          <w:sz w:val="24"/>
          <w:szCs w:val="24"/>
        </w:rPr>
      </w:pPr>
      <w:r w:rsidRPr="00F868B0">
        <w:rPr>
          <w:rFonts w:ascii="Garamond" w:hAnsi="Garamond" w:cs="Times New Roman"/>
          <w:sz w:val="24"/>
          <w:szCs w:val="24"/>
        </w:rPr>
        <w:t>Wasiat perspektif ulama Mazhab Maliki adalah:</w:t>
      </w:r>
    </w:p>
    <w:p w:rsidR="005F2233" w:rsidRPr="00F868B0" w:rsidRDefault="00FB65A5" w:rsidP="00F868B0">
      <w:pPr>
        <w:pStyle w:val="ListParagraph"/>
        <w:bidi/>
        <w:spacing w:after="0"/>
        <w:ind w:left="0"/>
        <w:jc w:val="both"/>
        <w:rPr>
          <w:rFonts w:ascii="Garamond" w:hAnsi="Garamond" w:cs="Times New Roman"/>
          <w:sz w:val="24"/>
          <w:szCs w:val="24"/>
        </w:rPr>
      </w:pPr>
      <w:r w:rsidRPr="00F868B0">
        <w:rPr>
          <w:rFonts w:ascii="Garamond" w:hAnsi="Garamond" w:cs="Traditional Arabic" w:hint="eastAsia"/>
          <w:sz w:val="24"/>
          <w:szCs w:val="24"/>
          <w:rtl/>
        </w:rPr>
        <w:t>عَقْدٌ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يُوْجَبُ</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حَقًّا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ثُلُثِ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عَاقَدُهُ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يلزم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بِمَوْتِهِ</w:t>
      </w:r>
      <w:r w:rsidRPr="00F868B0">
        <w:rPr>
          <w:rFonts w:ascii="Garamond" w:hAnsi="Garamond" w:cs="Times New Roman"/>
          <w:sz w:val="24"/>
          <w:szCs w:val="24"/>
          <w:rtl/>
        </w:rPr>
        <w:t>.</w:t>
      </w:r>
      <w:r w:rsidRPr="00F868B0">
        <w:rPr>
          <w:rStyle w:val="FootnoteReference"/>
          <w:rFonts w:ascii="Garamond" w:hAnsi="Garamond"/>
          <w:sz w:val="24"/>
          <w:szCs w:val="24"/>
          <w:rtl/>
        </w:rPr>
        <w:footnoteReference w:id="18"/>
      </w:r>
      <w:r w:rsidRPr="00F868B0">
        <w:rPr>
          <w:rFonts w:ascii="Garamond" w:hAnsi="Garamond" w:cs="Times New Roman"/>
          <w:sz w:val="24"/>
          <w:szCs w:val="24"/>
          <w:rtl/>
        </w:rPr>
        <w:t xml:space="preserve"> </w:t>
      </w:r>
    </w:p>
    <w:p w:rsidR="00FB65A5" w:rsidRPr="00F868B0" w:rsidRDefault="00FB65A5" w:rsidP="000120A9">
      <w:pPr>
        <w:pStyle w:val="ListParagraph"/>
        <w:spacing w:after="0"/>
        <w:ind w:left="284"/>
        <w:jc w:val="both"/>
        <w:rPr>
          <w:rFonts w:ascii="Garamond" w:hAnsi="Garamond" w:cs="Times New Roman"/>
          <w:sz w:val="24"/>
          <w:szCs w:val="24"/>
        </w:rPr>
      </w:pPr>
      <w:r w:rsidRPr="00F868B0">
        <w:rPr>
          <w:rFonts w:ascii="Garamond" w:hAnsi="Garamond" w:cs="Times New Roman"/>
          <w:sz w:val="24"/>
          <w:szCs w:val="24"/>
        </w:rPr>
        <w:t>Artinya:</w:t>
      </w:r>
    </w:p>
    <w:p w:rsidR="00FB65A5" w:rsidRDefault="00FB65A5" w:rsidP="000120A9">
      <w:pPr>
        <w:pStyle w:val="ListParagraph"/>
        <w:spacing w:after="0"/>
        <w:ind w:left="993"/>
        <w:jc w:val="both"/>
        <w:rPr>
          <w:rFonts w:ascii="Garamond" w:hAnsi="Garamond" w:cs="Times New Roman"/>
          <w:i/>
          <w:iCs/>
          <w:sz w:val="24"/>
          <w:szCs w:val="24"/>
        </w:rPr>
      </w:pPr>
      <w:r w:rsidRPr="00F868B0">
        <w:rPr>
          <w:rFonts w:ascii="Garamond" w:hAnsi="Garamond" w:cs="Times New Roman"/>
          <w:i/>
          <w:iCs/>
          <w:sz w:val="24"/>
          <w:szCs w:val="24"/>
        </w:rPr>
        <w:t>“Transaksi yang mengharuskan (penerima wasiat) mendapatkan 1/3 dari harta (peninggalan pewasiat) yang pelaksanaannya berlaku setelah kematian pewasiat.”</w:t>
      </w:r>
    </w:p>
    <w:p w:rsidR="00AB0833" w:rsidRPr="000120A9" w:rsidRDefault="00AB0833" w:rsidP="000120A9">
      <w:pPr>
        <w:pStyle w:val="ListParagraph"/>
        <w:spacing w:after="0"/>
        <w:ind w:left="993"/>
        <w:jc w:val="both"/>
        <w:rPr>
          <w:rFonts w:ascii="Garamond" w:hAnsi="Garamond" w:cs="Times New Roman"/>
          <w:i/>
          <w:iCs/>
          <w:sz w:val="24"/>
          <w:szCs w:val="24"/>
        </w:rPr>
      </w:pPr>
    </w:p>
    <w:p w:rsidR="00FB65A5" w:rsidRPr="00F868B0" w:rsidRDefault="00FB65A5" w:rsidP="000120A9">
      <w:pPr>
        <w:pStyle w:val="ListParagraph"/>
        <w:numPr>
          <w:ilvl w:val="0"/>
          <w:numId w:val="9"/>
        </w:numPr>
        <w:spacing w:after="0"/>
        <w:ind w:left="284" w:hanging="284"/>
        <w:jc w:val="both"/>
        <w:rPr>
          <w:rFonts w:ascii="Garamond" w:hAnsi="Garamond" w:cs="Times New Roman"/>
          <w:sz w:val="24"/>
          <w:szCs w:val="24"/>
        </w:rPr>
      </w:pPr>
      <w:r w:rsidRPr="00F868B0">
        <w:rPr>
          <w:rFonts w:ascii="Garamond" w:hAnsi="Garamond" w:cs="Times New Roman"/>
          <w:sz w:val="24"/>
          <w:szCs w:val="24"/>
        </w:rPr>
        <w:t>Secara terminologi ulama Mazhab Hanbali memahami wasiat sebagai berikut:</w:t>
      </w:r>
    </w:p>
    <w:p w:rsidR="00FB65A5" w:rsidRPr="00F868B0" w:rsidRDefault="00FB65A5" w:rsidP="000120A9">
      <w:pPr>
        <w:pStyle w:val="ListParagraph"/>
        <w:bidi/>
        <w:spacing w:after="0"/>
        <w:ind w:left="0" w:right="284"/>
        <w:jc w:val="both"/>
        <w:rPr>
          <w:rFonts w:ascii="Garamond" w:hAnsi="Garamond" w:cs="Traditional Arabic"/>
          <w:sz w:val="24"/>
          <w:szCs w:val="24"/>
        </w:rPr>
      </w:pPr>
      <w:r w:rsidRPr="00F868B0">
        <w:rPr>
          <w:rFonts w:ascii="Garamond" w:hAnsi="Garamond" w:cs="Traditional Arabic" w:hint="eastAsia"/>
          <w:sz w:val="24"/>
          <w:szCs w:val="24"/>
          <w:rtl/>
        </w:rPr>
        <w:t>الأَمْرُ</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بِالتَّصَرُّفِ</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بَعْدَ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المَوْتِ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وَالوَصِيَّةُ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بِالمَالِ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هِيَ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التَّبَرّع</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بَعْدَ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الموْتِ</w:t>
      </w:r>
      <w:r w:rsidRPr="00F868B0">
        <w:rPr>
          <w:rFonts w:ascii="Garamond" w:hAnsi="Garamond" w:cs="Traditional Arabic"/>
          <w:sz w:val="24"/>
          <w:szCs w:val="24"/>
          <w:rtl/>
        </w:rPr>
        <w:t>.</w:t>
      </w:r>
      <w:r w:rsidRPr="00F868B0">
        <w:rPr>
          <w:rStyle w:val="FootnoteReference"/>
          <w:rFonts w:ascii="Garamond" w:hAnsi="Garamond"/>
          <w:sz w:val="24"/>
          <w:szCs w:val="24"/>
          <w:rtl/>
        </w:rPr>
        <w:footnoteReference w:id="19"/>
      </w:r>
    </w:p>
    <w:p w:rsidR="00FB65A5" w:rsidRPr="00F868B0" w:rsidRDefault="00FB65A5" w:rsidP="000120A9">
      <w:pPr>
        <w:pStyle w:val="ListParagraph"/>
        <w:spacing w:after="0"/>
        <w:ind w:left="284"/>
        <w:jc w:val="both"/>
        <w:rPr>
          <w:rFonts w:ascii="Garamond" w:hAnsi="Garamond" w:cs="Times New Roman"/>
          <w:sz w:val="24"/>
          <w:szCs w:val="24"/>
        </w:rPr>
      </w:pPr>
      <w:r w:rsidRPr="00F868B0">
        <w:rPr>
          <w:rFonts w:ascii="Garamond" w:hAnsi="Garamond" w:cs="Times New Roman"/>
          <w:sz w:val="24"/>
          <w:szCs w:val="24"/>
        </w:rPr>
        <w:t>Artinya:</w:t>
      </w:r>
    </w:p>
    <w:p w:rsidR="00FB65A5" w:rsidRPr="00F868B0" w:rsidRDefault="00FB65A5" w:rsidP="000120A9">
      <w:pPr>
        <w:pStyle w:val="ListParagraph"/>
        <w:spacing w:after="0"/>
        <w:ind w:left="993"/>
        <w:jc w:val="both"/>
        <w:rPr>
          <w:rFonts w:ascii="Garamond" w:hAnsi="Garamond" w:cs="Times New Roman"/>
          <w:i/>
          <w:iCs/>
          <w:sz w:val="24"/>
          <w:szCs w:val="24"/>
        </w:rPr>
      </w:pPr>
      <w:r w:rsidRPr="00F868B0">
        <w:rPr>
          <w:rFonts w:ascii="Garamond" w:hAnsi="Garamond" w:cs="Times New Roman"/>
          <w:i/>
          <w:iCs/>
          <w:sz w:val="24"/>
          <w:szCs w:val="24"/>
        </w:rPr>
        <w:t>“Transaksi pemindahan hak milik yang berlaku setelah wafat (pewasiat). Adapun wasiat dengan harta adalah perbuatan baik yang dilakukan setelah meninggal dunia (pewasiat).”</w:t>
      </w:r>
    </w:p>
    <w:p w:rsidR="00F868B0" w:rsidRPr="000120A9" w:rsidRDefault="00F868B0" w:rsidP="000120A9">
      <w:pPr>
        <w:spacing w:after="0"/>
        <w:jc w:val="both"/>
        <w:rPr>
          <w:rFonts w:ascii="Garamond" w:hAnsi="Garamond" w:cs="Times New Roman"/>
          <w:sz w:val="24"/>
          <w:szCs w:val="24"/>
        </w:rPr>
      </w:pPr>
    </w:p>
    <w:p w:rsidR="00FB65A5" w:rsidRPr="00F868B0" w:rsidRDefault="00FB65A5" w:rsidP="000120A9">
      <w:pPr>
        <w:pStyle w:val="ListParagraph"/>
        <w:numPr>
          <w:ilvl w:val="0"/>
          <w:numId w:val="9"/>
        </w:numPr>
        <w:spacing w:after="0"/>
        <w:ind w:left="284" w:hanging="284"/>
        <w:jc w:val="both"/>
        <w:rPr>
          <w:rFonts w:ascii="Garamond" w:hAnsi="Garamond" w:cs="Times New Roman"/>
          <w:sz w:val="24"/>
          <w:szCs w:val="24"/>
        </w:rPr>
      </w:pPr>
      <w:r w:rsidRPr="00F868B0">
        <w:rPr>
          <w:rFonts w:ascii="Garamond" w:hAnsi="Garamond" w:cs="Times New Roman"/>
          <w:sz w:val="24"/>
          <w:szCs w:val="24"/>
        </w:rPr>
        <w:t>Menurut Syaikh Sayyid Sābiq, wasiat adalah:</w:t>
      </w:r>
    </w:p>
    <w:p w:rsidR="002A6FDA" w:rsidRPr="00F868B0" w:rsidRDefault="00FB65A5" w:rsidP="000120A9">
      <w:pPr>
        <w:pStyle w:val="ListParagraph"/>
        <w:bidi/>
        <w:spacing w:after="0"/>
        <w:ind w:left="0" w:right="284"/>
        <w:jc w:val="both"/>
        <w:rPr>
          <w:rFonts w:ascii="Garamond" w:hAnsi="Garamond" w:cs="Times New Roman"/>
          <w:sz w:val="24"/>
          <w:szCs w:val="24"/>
        </w:rPr>
      </w:pPr>
      <w:r w:rsidRPr="00F868B0">
        <w:rPr>
          <w:rFonts w:ascii="Garamond" w:hAnsi="Garamond" w:cs="Traditional Arabic" w:hint="eastAsia"/>
          <w:sz w:val="24"/>
          <w:szCs w:val="24"/>
          <w:rtl/>
        </w:rPr>
        <w:t>هِبَّةُ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الإِنْسَانُ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غَيْرَهُ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عَيْنًا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أَوْ</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دَيْنَا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أَوْ</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مَنْفَعَةً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يَمْلِكَ</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المُوْصَى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الهِبَّةَ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بَعْدَ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مَوْتِ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المُوْصِي</w:t>
      </w:r>
      <w:r w:rsidRPr="00F868B0">
        <w:rPr>
          <w:rFonts w:ascii="Garamond" w:hAnsi="Garamond" w:cs="Traditional Arabic"/>
          <w:sz w:val="24"/>
          <w:szCs w:val="24"/>
          <w:rtl/>
        </w:rPr>
        <w:t>.</w:t>
      </w:r>
      <w:r w:rsidRPr="00F868B0">
        <w:rPr>
          <w:rStyle w:val="FootnoteReference"/>
          <w:rFonts w:ascii="Garamond" w:hAnsi="Garamond"/>
          <w:sz w:val="24"/>
          <w:szCs w:val="24"/>
          <w:rtl/>
        </w:rPr>
        <w:footnoteReference w:id="20"/>
      </w:r>
    </w:p>
    <w:p w:rsidR="00FB65A5" w:rsidRPr="00F868B0" w:rsidRDefault="00FB65A5" w:rsidP="000120A9">
      <w:pPr>
        <w:pStyle w:val="ListParagraph"/>
        <w:spacing w:after="0"/>
        <w:ind w:left="284"/>
        <w:jc w:val="both"/>
        <w:rPr>
          <w:rFonts w:ascii="Garamond" w:hAnsi="Garamond" w:cs="Times New Roman"/>
          <w:sz w:val="24"/>
          <w:szCs w:val="24"/>
        </w:rPr>
      </w:pPr>
      <w:r w:rsidRPr="00F868B0">
        <w:rPr>
          <w:rFonts w:ascii="Garamond" w:hAnsi="Garamond" w:cs="Times New Roman"/>
          <w:sz w:val="24"/>
          <w:szCs w:val="24"/>
        </w:rPr>
        <w:t>Artinya:</w:t>
      </w:r>
    </w:p>
    <w:p w:rsidR="00FB65A5" w:rsidRPr="00F868B0" w:rsidRDefault="00FB65A5" w:rsidP="000120A9">
      <w:pPr>
        <w:spacing w:after="0"/>
        <w:ind w:left="993"/>
        <w:jc w:val="both"/>
        <w:rPr>
          <w:rFonts w:ascii="Garamond" w:hAnsi="Garamond" w:cs="Times New Roman"/>
          <w:i/>
          <w:iCs/>
          <w:sz w:val="24"/>
          <w:szCs w:val="24"/>
        </w:rPr>
      </w:pPr>
      <w:r w:rsidRPr="00F868B0">
        <w:rPr>
          <w:rFonts w:ascii="Garamond" w:hAnsi="Garamond" w:cs="Times New Roman"/>
          <w:i/>
          <w:iCs/>
          <w:sz w:val="24"/>
          <w:szCs w:val="24"/>
        </w:rPr>
        <w:t xml:space="preserve">“Pemberian seseorang kepada orang lain berupa harta benda, hutang, atau manfaat, </w:t>
      </w:r>
      <w:r w:rsidRPr="00F868B0">
        <w:rPr>
          <w:rFonts w:ascii="Garamond" w:hAnsi="Garamond" w:cs="Times New Roman"/>
          <w:i/>
          <w:iCs/>
          <w:sz w:val="24"/>
          <w:szCs w:val="24"/>
        </w:rPr>
        <w:lastRenderedPageBreak/>
        <w:t>agar penerima wasiat memiliki pemberian tersebut setelah pewasiat meninggal dunia.”</w:t>
      </w:r>
    </w:p>
    <w:p w:rsidR="00F46850" w:rsidRPr="00F868B0" w:rsidRDefault="00F46850" w:rsidP="00F868B0">
      <w:pPr>
        <w:spacing w:after="0"/>
        <w:ind w:left="284" w:firstLine="709"/>
        <w:jc w:val="both"/>
        <w:rPr>
          <w:rFonts w:ascii="Garamond" w:hAnsi="Garamond" w:cs="Times New Roman"/>
          <w:bCs/>
          <w:sz w:val="24"/>
          <w:szCs w:val="24"/>
        </w:rPr>
      </w:pPr>
    </w:p>
    <w:p w:rsidR="006B650D" w:rsidRPr="00F868B0" w:rsidRDefault="001B7F99"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Berdasarkan definisi yang dikemukakan oleh ulama di atas dapat dipahami bahwa ulama memberikan penekanan mengenai pelaksanaan wasiat yang telah dibuat oleh pewasiat berlaku setelah pewasiat meninggal dunia. Hal inilah yang semakin memberikan petunjuk bahwa hibah wasiat dalam KUH Perdata adalah wasiat itu sendiri.</w:t>
      </w:r>
    </w:p>
    <w:p w:rsidR="00434BF1" w:rsidRPr="00F868B0" w:rsidRDefault="001B7F99" w:rsidP="000120A9">
      <w:pPr>
        <w:pStyle w:val="ListParagraph"/>
        <w:spacing w:after="0"/>
        <w:ind w:left="0" w:firstLine="709"/>
        <w:jc w:val="both"/>
        <w:rPr>
          <w:rFonts w:ascii="Garamond" w:hAnsi="Garamond" w:cs="Times New Roman"/>
          <w:sz w:val="24"/>
          <w:szCs w:val="24"/>
        </w:rPr>
      </w:pPr>
      <w:r w:rsidRPr="000120A9">
        <w:rPr>
          <w:rFonts w:ascii="Garamond" w:hAnsi="Garamond" w:cs="Times New Roman"/>
          <w:sz w:val="24"/>
          <w:szCs w:val="24"/>
        </w:rPr>
        <w:t>Selanjutnya</w:t>
      </w:r>
      <w:r w:rsidRPr="00F868B0">
        <w:rPr>
          <w:rFonts w:ascii="Garamond" w:hAnsi="Garamond" w:cs="Times New Roman"/>
          <w:bCs/>
          <w:sz w:val="24"/>
          <w:szCs w:val="24"/>
        </w:rPr>
        <w:t>, s</w:t>
      </w:r>
      <w:r w:rsidR="00E64F19" w:rsidRPr="00F868B0">
        <w:rPr>
          <w:rFonts w:ascii="Garamond" w:hAnsi="Garamond" w:cs="Times New Roman"/>
          <w:bCs/>
          <w:sz w:val="24"/>
          <w:szCs w:val="24"/>
        </w:rPr>
        <w:t xml:space="preserve">ebelum dibahas lebih lanjut mengenai perkara hibah wasiat Nomor: </w:t>
      </w:r>
      <w:r w:rsidR="00E64F19" w:rsidRPr="00F868B0">
        <w:rPr>
          <w:rFonts w:ascii="Garamond" w:hAnsi="Garamond" w:cs="Times New Roman"/>
          <w:sz w:val="24"/>
          <w:szCs w:val="24"/>
        </w:rPr>
        <w:t>69/Pdt.G/2009/PN.Pdg</w:t>
      </w:r>
      <w:r w:rsidR="00A12F1E" w:rsidRPr="00F868B0">
        <w:rPr>
          <w:rFonts w:ascii="Garamond" w:hAnsi="Garamond" w:cs="Times New Roman"/>
          <w:sz w:val="24"/>
          <w:szCs w:val="24"/>
        </w:rPr>
        <w:t>., ini, perlu diketahui bahwa berdasarkan penelusuran penulis, baik pada register perkara perdata di Pengadilan Negeri Padang Kelas I.A maupun pada Direktori Putusan Mahkamah Agung yang memuat putusan-putusan dari pengadilan tersebut, tidak ditemukan pengelompokan perkara dengan keterangan “Hibah Wasiat”.</w:t>
      </w:r>
    </w:p>
    <w:p w:rsidR="006B650D" w:rsidRPr="00F868B0" w:rsidRDefault="00A12F1E"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Pada register perkara perdata di Pengadilan Negeri Padang Kelas I.A, penulis menemukan perkara Nomor: 69/Pdt.G/2009/PN.Pdg., tersebut dengan keterangan “Bagian Tanah”. Menariknya, pada Direktori Putusan Mahkamah Agung perkara tersebut justru dikategorikan dalam perkara perdata “Waris”. Namun, karena di dalam salinan putusan itu disebutkan bahwa perkara ini merupakan tuntutan atas harta hibah wasiat dan harta warisan yang belum dibagikan, maka penulis menempatkan perkara ini sebagai perkara hibah wasiat.</w:t>
      </w:r>
    </w:p>
    <w:p w:rsidR="006B650D" w:rsidRPr="00F868B0" w:rsidRDefault="00A12F1E"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bCs/>
          <w:sz w:val="24"/>
          <w:szCs w:val="24"/>
        </w:rPr>
        <w:t xml:space="preserve">Perkara </w:t>
      </w:r>
      <w:r w:rsidRPr="00F868B0">
        <w:rPr>
          <w:rFonts w:ascii="Garamond" w:hAnsi="Garamond" w:cs="Times New Roman"/>
          <w:sz w:val="24"/>
          <w:szCs w:val="24"/>
        </w:rPr>
        <w:t xml:space="preserve">Nomor: 69/Pdt.G/2009/PN.Pdg., tersebut </w:t>
      </w:r>
      <w:r w:rsidR="00EA4FAA" w:rsidRPr="00F868B0">
        <w:rPr>
          <w:rFonts w:ascii="Garamond" w:hAnsi="Garamond" w:cs="Times New Roman"/>
          <w:sz w:val="24"/>
          <w:szCs w:val="24"/>
        </w:rPr>
        <w:t>tergolong perkara yang unik dan cukup menarik. Pada satu sisi perkara itu merupakan perkara hibah wasiat dengan objeknya berupa tanah dan hak kepemilikan saham, namun di satu sisi juga berkaitan dengan harta warisan, karena kedudukan penggugat sebagai ahli waris, bukan sebagai penerima hibah wasiat yang tercantum di dalam surat wasiat.</w:t>
      </w:r>
    </w:p>
    <w:p w:rsidR="00EA4FAA" w:rsidRPr="00F868B0" w:rsidRDefault="00EA4FAA"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lastRenderedPageBreak/>
        <w:t xml:space="preserve">Untuk lebih jelasnya, berikut dipaparkan lebih jelas mengenai </w:t>
      </w:r>
      <w:r w:rsidR="004422C6" w:rsidRPr="00F868B0">
        <w:rPr>
          <w:rFonts w:ascii="Garamond" w:hAnsi="Garamond" w:cs="Times New Roman"/>
          <w:sz w:val="24"/>
          <w:szCs w:val="24"/>
        </w:rPr>
        <w:t>perkara hibah wasiat Nomor: 69/Pdt.G/2009/PN.Pdg., baik dari sudut pandang majelis yang memutuskan perkara tersebut maupun dari sudut pandang hukum Islam.</w:t>
      </w:r>
    </w:p>
    <w:p w:rsidR="004422C6" w:rsidRPr="00F868B0" w:rsidRDefault="004422C6" w:rsidP="00F868B0">
      <w:pPr>
        <w:spacing w:after="0"/>
        <w:ind w:left="284" w:firstLine="709"/>
        <w:jc w:val="both"/>
        <w:rPr>
          <w:rFonts w:ascii="Garamond" w:hAnsi="Garamond" w:cs="Times New Roman"/>
          <w:bCs/>
          <w:sz w:val="24"/>
          <w:szCs w:val="24"/>
        </w:rPr>
      </w:pPr>
    </w:p>
    <w:p w:rsidR="00AA7E15" w:rsidRPr="000120A9" w:rsidRDefault="00C05F23" w:rsidP="000120A9">
      <w:pPr>
        <w:spacing w:after="0"/>
        <w:jc w:val="both"/>
        <w:rPr>
          <w:rFonts w:ascii="Garamond" w:hAnsi="Garamond" w:cs="Times New Roman"/>
          <w:b/>
          <w:sz w:val="24"/>
          <w:szCs w:val="24"/>
        </w:rPr>
      </w:pPr>
      <w:r w:rsidRPr="000120A9">
        <w:rPr>
          <w:rFonts w:ascii="Garamond" w:hAnsi="Garamond" w:cs="Times New Roman"/>
          <w:b/>
          <w:sz w:val="24"/>
          <w:szCs w:val="24"/>
        </w:rPr>
        <w:t>Pandangan</w:t>
      </w:r>
      <w:r w:rsidR="00C071B6" w:rsidRPr="000120A9">
        <w:rPr>
          <w:rFonts w:ascii="Garamond" w:hAnsi="Garamond" w:cs="Times New Roman"/>
          <w:b/>
          <w:sz w:val="24"/>
          <w:szCs w:val="24"/>
        </w:rPr>
        <w:t xml:space="preserve"> Hakim Pengadilan Negeri Padang Terhadap Putusan Nomor: 69/Pdt.G/2009/PN.Pdg</w:t>
      </w:r>
    </w:p>
    <w:p w:rsidR="0007060E" w:rsidRPr="00F868B0" w:rsidRDefault="00E25141"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 xml:space="preserve">Berangkat dari salinan putusan Pengadilan Negeri Padang yang meguraikan </w:t>
      </w:r>
      <w:r w:rsidRPr="000120A9">
        <w:rPr>
          <w:rFonts w:ascii="Garamond" w:hAnsi="Garamond" w:cs="Times New Roman"/>
          <w:sz w:val="24"/>
          <w:szCs w:val="24"/>
        </w:rPr>
        <w:t>mengenai</w:t>
      </w:r>
      <w:r w:rsidRPr="00F868B0">
        <w:rPr>
          <w:rFonts w:ascii="Garamond" w:hAnsi="Garamond" w:cs="Times New Roman"/>
          <w:bCs/>
          <w:sz w:val="24"/>
          <w:szCs w:val="24"/>
        </w:rPr>
        <w:t xml:space="preserve"> duduk perkara hibah wasiat Nomor: 69/Pdt.G/2009/PN.Pdg., penulis kemudian melakukan wawancara dengan majelis hakim yang memeriksa dan memutuskan perkara tersebut. </w:t>
      </w:r>
      <w:r w:rsidR="00FC0817" w:rsidRPr="00F868B0">
        <w:rPr>
          <w:rFonts w:ascii="Garamond" w:hAnsi="Garamond" w:cs="Times New Roman"/>
          <w:bCs/>
          <w:sz w:val="24"/>
          <w:szCs w:val="24"/>
        </w:rPr>
        <w:t xml:space="preserve">Pembahasan </w:t>
      </w:r>
      <w:r w:rsidRPr="00F868B0">
        <w:rPr>
          <w:rFonts w:ascii="Garamond" w:hAnsi="Garamond" w:cs="Times New Roman"/>
          <w:bCs/>
          <w:sz w:val="24"/>
          <w:szCs w:val="24"/>
        </w:rPr>
        <w:t>dalam wawancara tersebut adalah perkenaan dengan dua hal, yaitu mengenai kewenangan absolut pengadilan dan pelaksanaan hibah wasiat antara orang-orang beragama Islam sebagai pihak berperkara dalam perkara Nomor: 69/Pdt.G/2009/PN.Pdg., itu.</w:t>
      </w:r>
    </w:p>
    <w:p w:rsidR="00AA7E15" w:rsidRPr="00F868B0" w:rsidRDefault="00E25141"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b/>
          <w:i/>
          <w:iCs/>
          <w:sz w:val="24"/>
          <w:szCs w:val="24"/>
        </w:rPr>
        <w:t>Pertama</w:t>
      </w:r>
      <w:r w:rsidRPr="00F868B0">
        <w:rPr>
          <w:rFonts w:ascii="Garamond" w:hAnsi="Garamond" w:cs="Times New Roman"/>
          <w:bCs/>
          <w:sz w:val="24"/>
          <w:szCs w:val="24"/>
        </w:rPr>
        <w:t xml:space="preserve">, mengenai kewenangan absolut pengadilan dalam perkara hibah wasiat </w:t>
      </w:r>
      <w:r w:rsidRPr="000120A9">
        <w:rPr>
          <w:rFonts w:ascii="Garamond" w:hAnsi="Garamond" w:cs="Times New Roman"/>
          <w:sz w:val="24"/>
          <w:szCs w:val="24"/>
        </w:rPr>
        <w:t>Nomor</w:t>
      </w:r>
      <w:r w:rsidRPr="00F868B0">
        <w:rPr>
          <w:rFonts w:ascii="Garamond" w:hAnsi="Garamond" w:cs="Times New Roman"/>
          <w:bCs/>
          <w:sz w:val="24"/>
          <w:szCs w:val="24"/>
        </w:rPr>
        <w:t xml:space="preserve">: 69/Pdt.G/2009/PN.Pdg., </w:t>
      </w:r>
      <w:r w:rsidRPr="00F868B0">
        <w:rPr>
          <w:rFonts w:ascii="Garamond" w:hAnsi="Garamond" w:cs="Times New Roman"/>
          <w:sz w:val="24"/>
          <w:szCs w:val="24"/>
        </w:rPr>
        <w:t>Bapak Jon Effreddi sebagai Hakim Anggota dalam perkara terkait</w:t>
      </w:r>
      <w:r w:rsidR="00D569F5" w:rsidRPr="00F868B0">
        <w:rPr>
          <w:rFonts w:ascii="Garamond" w:hAnsi="Garamond" w:cs="Times New Roman"/>
          <w:sz w:val="24"/>
          <w:szCs w:val="24"/>
        </w:rPr>
        <w:t xml:space="preserve"> mengatakan bahwa </w:t>
      </w:r>
      <w:r w:rsidR="00571C40" w:rsidRPr="00F868B0">
        <w:rPr>
          <w:rFonts w:ascii="Garamond" w:hAnsi="Garamond" w:cs="Times New Roman"/>
          <w:sz w:val="24"/>
          <w:szCs w:val="24"/>
        </w:rPr>
        <w:t>perkara tersebut berkaitan dengan kepemilikan modal CV. XXX, dimana Penggugat sebagai komanditer</w:t>
      </w:r>
      <w:r w:rsidR="00571C40" w:rsidRPr="00F868B0">
        <w:rPr>
          <w:rStyle w:val="FootnoteReference"/>
          <w:rFonts w:ascii="Garamond" w:hAnsi="Garamond"/>
          <w:sz w:val="24"/>
          <w:szCs w:val="24"/>
        </w:rPr>
        <w:footnoteReference w:id="21"/>
      </w:r>
      <w:r w:rsidR="00571C40" w:rsidRPr="00F868B0">
        <w:rPr>
          <w:rFonts w:ascii="Garamond" w:hAnsi="Garamond" w:cs="Times New Roman"/>
          <w:sz w:val="24"/>
          <w:szCs w:val="24"/>
        </w:rPr>
        <w:t xml:space="preserve"> dan Tergugat sebagai pengurus. Hal tersebut menjadi pertimbangan bagi majelis hakim menolak eksepsi kewenangan mengadili yang diajukan oleh Para Tergugat dalam putusan sela.</w:t>
      </w:r>
      <w:r w:rsidR="00571C40" w:rsidRPr="00F868B0">
        <w:rPr>
          <w:rStyle w:val="FootnoteReference"/>
          <w:rFonts w:ascii="Garamond" w:hAnsi="Garamond"/>
          <w:sz w:val="24"/>
          <w:szCs w:val="24"/>
        </w:rPr>
        <w:footnoteReference w:id="22"/>
      </w:r>
    </w:p>
    <w:p w:rsidR="00AA7E15" w:rsidRPr="00F868B0" w:rsidRDefault="004B6C37"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lastRenderedPageBreak/>
        <w:t xml:space="preserve">Berdasarkan argumentasi hakim tersebut, diketahui bahwa ia sangat meyakini perkara </w:t>
      </w:r>
      <w:r w:rsidRPr="000120A9">
        <w:rPr>
          <w:rFonts w:ascii="Garamond" w:hAnsi="Garamond" w:cs="Times New Roman"/>
          <w:sz w:val="24"/>
          <w:szCs w:val="24"/>
        </w:rPr>
        <w:t>Nomor</w:t>
      </w:r>
      <w:r w:rsidRPr="00F868B0">
        <w:rPr>
          <w:rFonts w:ascii="Garamond" w:hAnsi="Garamond" w:cs="Times New Roman"/>
          <w:bCs/>
          <w:sz w:val="24"/>
          <w:szCs w:val="24"/>
        </w:rPr>
        <w:t>: 69/Pdt.G.2009/PN.Pdg., adalah mutlak kewenangan Pengadilan Negeri tanpa melihat adanya unsur hibah wasiat antara orang-orang beragama Islam sebagai pihak yang berperkara.</w:t>
      </w:r>
    </w:p>
    <w:p w:rsidR="004B6C37" w:rsidRPr="00F868B0" w:rsidRDefault="004B6C37"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 xml:space="preserve">Akan tetapi, jika dicermati dari fakta persidangan terlihat bahwa penggugat bukan </w:t>
      </w:r>
      <w:r w:rsidRPr="000120A9">
        <w:rPr>
          <w:rFonts w:ascii="Garamond" w:hAnsi="Garamond" w:cs="Times New Roman"/>
          <w:sz w:val="24"/>
          <w:szCs w:val="24"/>
        </w:rPr>
        <w:t>berkedudukan</w:t>
      </w:r>
      <w:r w:rsidRPr="00F868B0">
        <w:rPr>
          <w:rFonts w:ascii="Garamond" w:hAnsi="Garamond" w:cs="Times New Roman"/>
          <w:bCs/>
          <w:sz w:val="24"/>
          <w:szCs w:val="24"/>
        </w:rPr>
        <w:t xml:space="preserve"> sebagai </w:t>
      </w:r>
      <w:r w:rsidRPr="00F868B0">
        <w:rPr>
          <w:rFonts w:ascii="Garamond" w:hAnsi="Garamond" w:cs="Times New Roman"/>
          <w:bCs/>
          <w:i/>
          <w:iCs/>
          <w:sz w:val="24"/>
          <w:szCs w:val="24"/>
        </w:rPr>
        <w:t>komanditer</w:t>
      </w:r>
      <w:r w:rsidRPr="00F868B0">
        <w:rPr>
          <w:rFonts w:ascii="Garamond" w:hAnsi="Garamond" w:cs="Times New Roman"/>
          <w:bCs/>
          <w:sz w:val="24"/>
          <w:szCs w:val="24"/>
        </w:rPr>
        <w:t xml:space="preserve"> sebagaimana yang disampaikan oleh Bapak Jon, namun berkedudukan sebagai ahli waris dari saudara-saudara pewasiat yang telah meninggal lebih dahulu dari pewasiat. Adapun yang berkedudukan sebagai </w:t>
      </w:r>
      <w:r w:rsidRPr="00F868B0">
        <w:rPr>
          <w:rFonts w:ascii="Garamond" w:hAnsi="Garamond" w:cs="Times New Roman"/>
          <w:bCs/>
          <w:i/>
          <w:iCs/>
          <w:sz w:val="24"/>
          <w:szCs w:val="24"/>
        </w:rPr>
        <w:t>komanditer</w:t>
      </w:r>
      <w:r w:rsidRPr="00F868B0">
        <w:rPr>
          <w:rFonts w:ascii="Garamond" w:hAnsi="Garamond" w:cs="Times New Roman"/>
          <w:bCs/>
          <w:sz w:val="24"/>
          <w:szCs w:val="24"/>
        </w:rPr>
        <w:t xml:space="preserve"> adalah pewasiat, tergugat I (isteri pewasiat) dan FH yang merupakan rekan dari keduanya.</w:t>
      </w:r>
      <w:r w:rsidRPr="00F868B0">
        <w:rPr>
          <w:rStyle w:val="FootnoteReference"/>
          <w:rFonts w:ascii="Garamond" w:hAnsi="Garamond"/>
          <w:bCs/>
          <w:sz w:val="24"/>
          <w:szCs w:val="24"/>
        </w:rPr>
        <w:footnoteReference w:id="23"/>
      </w:r>
    </w:p>
    <w:p w:rsidR="00AA7E15" w:rsidRPr="00F868B0" w:rsidRDefault="00AA7E15" w:rsidP="00F868B0">
      <w:pPr>
        <w:spacing w:after="0"/>
        <w:ind w:left="567" w:firstLine="709"/>
        <w:jc w:val="both"/>
        <w:rPr>
          <w:rFonts w:ascii="Garamond" w:hAnsi="Garamond" w:cs="Times New Roman"/>
          <w:bCs/>
          <w:sz w:val="24"/>
          <w:szCs w:val="24"/>
        </w:rPr>
      </w:pPr>
    </w:p>
    <w:p w:rsidR="0007060E" w:rsidRPr="00F868B0" w:rsidRDefault="00E17B05"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Kemudian, wawancara dilakukan dengan majelis hakim lainnya dalam perkara Nomor: 69/Pdt.G.2009/PN.Pdg., yaitu Bapak Sapta Diharja. Ia mengemukakan bahwa putusan majelis hakim terkait penolakan eksepsi tergugat mengenai kewenangan absolut pengadilan sudah tepat. Hal ini dikaitkan dengan ketentuan pasal 49 UU Nomor 3 Tahun 2006 tentang Peradilan Agama.</w:t>
      </w:r>
    </w:p>
    <w:p w:rsidR="00AA7E15" w:rsidRPr="00F868B0" w:rsidRDefault="00E17B05"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 xml:space="preserve"> </w:t>
      </w:r>
      <w:r w:rsidR="002F0FF6" w:rsidRPr="00F868B0">
        <w:rPr>
          <w:rFonts w:ascii="Garamond" w:hAnsi="Garamond" w:cs="Times New Roman"/>
          <w:bCs/>
          <w:sz w:val="24"/>
          <w:szCs w:val="24"/>
        </w:rPr>
        <w:t>Pada pasal itu tertera bahwa dalam kewenangan pengadilan agama hanya tertera perkara “</w:t>
      </w:r>
      <w:r w:rsidR="002F0FF6" w:rsidRPr="000120A9">
        <w:rPr>
          <w:rFonts w:ascii="Garamond" w:hAnsi="Garamond" w:cs="Times New Roman"/>
          <w:sz w:val="24"/>
          <w:szCs w:val="24"/>
        </w:rPr>
        <w:t>hibah</w:t>
      </w:r>
      <w:r w:rsidR="002F0FF6" w:rsidRPr="00F868B0">
        <w:rPr>
          <w:rFonts w:ascii="Garamond" w:hAnsi="Garamond" w:cs="Times New Roman"/>
          <w:bCs/>
          <w:sz w:val="24"/>
          <w:szCs w:val="24"/>
        </w:rPr>
        <w:t xml:space="preserve">” dan “wasiat”, tidak tertera “hibah wasiat”, sehingga perkara Nomor: 69/Pdt.G/2009/PN.Pdg., adalah murni kewenangan dari pengadilan negeri. Di samping itu, </w:t>
      </w:r>
      <w:r w:rsidR="00C86D7E" w:rsidRPr="00F868B0">
        <w:rPr>
          <w:rFonts w:ascii="Garamond" w:hAnsi="Garamond" w:cs="Times New Roman"/>
          <w:bCs/>
          <w:sz w:val="24"/>
          <w:szCs w:val="24"/>
        </w:rPr>
        <w:t xml:space="preserve">Bapak Sapta juga mengatakan bahwa hakim harus memegang prinsip </w:t>
      </w:r>
      <w:r w:rsidR="00C86D7E" w:rsidRPr="00F868B0">
        <w:rPr>
          <w:rFonts w:ascii="Garamond" w:hAnsi="Garamond" w:cs="Times New Roman"/>
          <w:bCs/>
          <w:i/>
          <w:iCs/>
          <w:sz w:val="24"/>
          <w:szCs w:val="24"/>
        </w:rPr>
        <w:t>ius curia novit</w:t>
      </w:r>
      <w:r w:rsidR="00C86D7E" w:rsidRPr="00F868B0">
        <w:rPr>
          <w:rFonts w:ascii="Garamond" w:hAnsi="Garamond" w:cs="Times New Roman"/>
          <w:bCs/>
          <w:sz w:val="24"/>
          <w:szCs w:val="24"/>
        </w:rPr>
        <w:t>, yaitu hakim dianggap mengetahui hukum dan tidak boleh menolak perkara yang diajukan kepadanya.</w:t>
      </w:r>
      <w:r w:rsidR="00C86D7E" w:rsidRPr="00F868B0">
        <w:rPr>
          <w:rStyle w:val="FootnoteReference"/>
          <w:rFonts w:ascii="Garamond" w:hAnsi="Garamond"/>
          <w:bCs/>
          <w:sz w:val="24"/>
          <w:szCs w:val="24"/>
        </w:rPr>
        <w:footnoteReference w:id="24"/>
      </w:r>
    </w:p>
    <w:p w:rsidR="00AA7E15" w:rsidRPr="00F868B0" w:rsidRDefault="00712D7A"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bCs/>
          <w:sz w:val="24"/>
          <w:szCs w:val="24"/>
        </w:rPr>
        <w:lastRenderedPageBreak/>
        <w:t xml:space="preserve">Terkait argumentasi kedua majelis hakim dalam perkara Nomor: 69/Pdt.G/2009/PN.Pdg., penulis kemudian melakukan </w:t>
      </w:r>
      <w:r w:rsidR="002800FD" w:rsidRPr="00F868B0">
        <w:rPr>
          <w:rFonts w:ascii="Garamond" w:hAnsi="Garamond" w:cs="Times New Roman"/>
          <w:bCs/>
          <w:sz w:val="24"/>
          <w:szCs w:val="24"/>
        </w:rPr>
        <w:t xml:space="preserve">studi perbandingan dengan hakim pengadilan agama terkait kewenangan mengadili perkara hibah wasiat tersebut. Pada kesempatan tersebut penulis mewawancarai hakim junior, yaitu </w:t>
      </w:r>
      <w:r w:rsidR="002800FD" w:rsidRPr="00F868B0">
        <w:rPr>
          <w:rFonts w:ascii="Garamond" w:hAnsi="Garamond" w:cs="Times New Roman"/>
          <w:sz w:val="24"/>
          <w:szCs w:val="24"/>
        </w:rPr>
        <w:t>Bapak Fathur Rizqi dan hakim senior, yaitu Bapak Kastel Bahri.</w:t>
      </w:r>
    </w:p>
    <w:p w:rsidR="00AA7E15" w:rsidRPr="00F868B0" w:rsidRDefault="00447AC0"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Bapak Fathur mengemukakan bahwa ketentuan hibah wasiat secara yuridis memang tidak tertulis dalam kewenangan mengadili peradilan agama, namun ia menilai bahwa itu hanya merupakan persoalan redaksi undang-undang saja. Inti dari hibah wasiat tersebut sama dengan wasiat yang terdapat dalam ketentuan hukum Islam. Dan terlepas dari hal tersebut, asas personalitas keislaman tidak boleh dikesampingkan ketika para pihak dalam perkara perdata adalah antara orang-orang beragama Islam.</w:t>
      </w:r>
      <w:r w:rsidRPr="00F868B0">
        <w:rPr>
          <w:rStyle w:val="FootnoteReference"/>
          <w:rFonts w:ascii="Garamond" w:hAnsi="Garamond"/>
          <w:bCs/>
          <w:sz w:val="24"/>
          <w:szCs w:val="24"/>
        </w:rPr>
        <w:footnoteReference w:id="25"/>
      </w:r>
    </w:p>
    <w:p w:rsidR="00AA7E15" w:rsidRPr="00F868B0" w:rsidRDefault="00447AC0"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bCs/>
          <w:sz w:val="24"/>
          <w:szCs w:val="24"/>
        </w:rPr>
        <w:t xml:space="preserve">Argumen </w:t>
      </w:r>
      <w:r w:rsidRPr="000120A9">
        <w:rPr>
          <w:rFonts w:ascii="Garamond" w:hAnsi="Garamond" w:cs="Times New Roman"/>
          <w:sz w:val="24"/>
          <w:szCs w:val="24"/>
        </w:rPr>
        <w:t>serupa</w:t>
      </w:r>
      <w:r w:rsidRPr="00F868B0">
        <w:rPr>
          <w:rFonts w:ascii="Garamond" w:hAnsi="Garamond" w:cs="Times New Roman"/>
          <w:bCs/>
          <w:sz w:val="24"/>
          <w:szCs w:val="24"/>
        </w:rPr>
        <w:t xml:space="preserve"> juga disampaikan oleh Bapak Kastel. Ia mengatakan bahwa hibah wasiat adalah wasiat itu sendiri. Apabila perkara tersebut diajukan oleh-orang beragama Islam, maka hal ini semakin menguatkan bahwa yang berwenang untuk memeriksa dan memutuskan perkara tersebut adalah pengadilan agama, bukan pengadilan negeri. </w:t>
      </w:r>
      <w:r w:rsidRPr="00F868B0">
        <w:rPr>
          <w:rFonts w:ascii="Garamond" w:hAnsi="Garamond" w:cs="Times New Roman"/>
          <w:sz w:val="24"/>
          <w:szCs w:val="24"/>
        </w:rPr>
        <w:t xml:space="preserve">Hal ini telah diatur secara jelas dalam pasal 25 ayat (3) UU Nomor 48 Tahun 2009 tentang Kekuasaan Kehakiman </w:t>
      </w:r>
      <w:r w:rsidRPr="00F868B0">
        <w:rPr>
          <w:rFonts w:ascii="Garamond" w:hAnsi="Garamond" w:cs="Times New Roman"/>
          <w:i/>
          <w:iCs/>
          <w:sz w:val="24"/>
          <w:szCs w:val="24"/>
        </w:rPr>
        <w:t>jo</w:t>
      </w:r>
      <w:r w:rsidRPr="00F868B0">
        <w:rPr>
          <w:rFonts w:ascii="Garamond" w:hAnsi="Garamond" w:cs="Times New Roman"/>
          <w:sz w:val="24"/>
          <w:szCs w:val="24"/>
        </w:rPr>
        <w:t xml:space="preserve"> pasal 49 UU Nomor 3 Tahun 2006 tentang Perubahan UU Nomor 7 Tahun 1989 tentang Peradilan Agama.</w:t>
      </w:r>
      <w:r w:rsidRPr="00F868B0">
        <w:rPr>
          <w:rStyle w:val="FootnoteReference"/>
          <w:rFonts w:ascii="Garamond" w:hAnsi="Garamond"/>
          <w:sz w:val="24"/>
          <w:szCs w:val="24"/>
        </w:rPr>
        <w:footnoteReference w:id="26"/>
      </w:r>
    </w:p>
    <w:p w:rsidR="00E176F4" w:rsidRPr="00F868B0" w:rsidRDefault="00E176F4" w:rsidP="000120A9">
      <w:pPr>
        <w:pStyle w:val="ListParagraph"/>
        <w:spacing w:after="0"/>
        <w:ind w:left="0" w:firstLine="709"/>
        <w:jc w:val="both"/>
        <w:rPr>
          <w:rFonts w:ascii="Garamond" w:hAnsi="Garamond" w:cs="Times New Roman"/>
          <w:bCs/>
          <w:sz w:val="24"/>
          <w:szCs w:val="24"/>
        </w:rPr>
      </w:pPr>
      <w:r w:rsidRPr="000120A9">
        <w:rPr>
          <w:rFonts w:ascii="Garamond" w:hAnsi="Garamond" w:cs="Times New Roman"/>
          <w:sz w:val="24"/>
          <w:szCs w:val="24"/>
        </w:rPr>
        <w:t>Berdasarkan</w:t>
      </w:r>
      <w:r w:rsidRPr="00F868B0">
        <w:rPr>
          <w:rFonts w:ascii="Garamond" w:hAnsi="Garamond" w:cs="Times New Roman"/>
          <w:bCs/>
          <w:sz w:val="24"/>
          <w:szCs w:val="24"/>
        </w:rPr>
        <w:t xml:space="preserve"> argumentasi majelis hakim yang memeriksa dan memutuskan perkara Nomor: 69/Pdt.G/2009/PN.Pdg., dan membandingkannya dengan argumentasi hakim Pengadilan Agama terkait kewenangan mengadili </w:t>
      </w:r>
      <w:r w:rsidRPr="00F868B0">
        <w:rPr>
          <w:rFonts w:ascii="Garamond" w:hAnsi="Garamond" w:cs="Times New Roman"/>
          <w:bCs/>
          <w:sz w:val="24"/>
          <w:szCs w:val="24"/>
        </w:rPr>
        <w:lastRenderedPageBreak/>
        <w:t>pengadilan, dapat disimpulkan bahwa letak persoalan ini adalah berkenaan dengan pemahaman hakim mengenai kata “hibah wasiat”. Akibatnya, hal itu berdampak kepada pertimbangan hakim dalam menyelesaikan perkara hibah wasiat Nomor: 69/Pdt.G/2009/PN.Pdg.</w:t>
      </w:r>
    </w:p>
    <w:p w:rsidR="00AA7E15" w:rsidRPr="000120A9" w:rsidRDefault="00E77A95"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Menurut penulis, pada dasarnya hakim Pengadilan Negeri yang memeriksa perkara Nomor: 69/Pdt.G/2009/PN.Pdg., memiliki pertimbangan yang sesuai dengan redaksi dalam ketentuan pasal 49 UU Peradilan Agama serta pemahaman yang kuat mengenai prinsip </w:t>
      </w:r>
      <w:r w:rsidRPr="00F868B0">
        <w:rPr>
          <w:rFonts w:ascii="Garamond" w:hAnsi="Garamond" w:cs="Times New Roman"/>
          <w:i/>
          <w:iCs/>
          <w:sz w:val="24"/>
          <w:szCs w:val="24"/>
        </w:rPr>
        <w:t>ius curia novit</w:t>
      </w:r>
      <w:r w:rsidRPr="00F868B0">
        <w:rPr>
          <w:rFonts w:ascii="Garamond" w:hAnsi="Garamond" w:cs="Times New Roman"/>
          <w:sz w:val="24"/>
          <w:szCs w:val="24"/>
        </w:rPr>
        <w:t xml:space="preserve"> dalam hukum acara perdata yang mesti dipegang oleh hakim. Namun, hal tersebut belum dirasa cukup untuk memutuskan bahwa perkara Nomor: 69/Pdt.G/2009/PN.Pdg., adalah merupakan kewenangan dari Pengadilan Negeri Padang Kelas I.A.</w:t>
      </w:r>
    </w:p>
    <w:p w:rsidR="00F868B0" w:rsidRPr="00F868B0" w:rsidRDefault="00E77A95"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Hakim memang dianggap mengetahui semua hukum, sehingga ia tidak boleh menolak perkara yang diajukan kepadanya. Namun, masing-masing peradilan memiliki kompetensi masing-masing, sehingga akan tercapai ketertiban dalam pelaksanaan kekuasaan kehakiman. Di samping itu, majelis hakim sudah sepatutnya memperhatikan asas personalitas keislaman yang terkandung di dalam UU Nomor 3 tentang Perubahan UU Nomor 7 tentang Peradilan Agama. Selanjutnya, terlepas dari hal tersebut yang paling penting adalah </w:t>
      </w:r>
      <w:r w:rsidRPr="00F868B0">
        <w:rPr>
          <w:rFonts w:ascii="Garamond" w:hAnsi="Garamond" w:cs="Times New Roman"/>
          <w:i/>
          <w:iCs/>
          <w:sz w:val="24"/>
          <w:szCs w:val="24"/>
        </w:rPr>
        <w:t>“lex specialist derogate legi generalis”</w:t>
      </w:r>
      <w:r w:rsidRPr="00F868B0">
        <w:rPr>
          <w:rFonts w:ascii="Garamond" w:hAnsi="Garamond" w:cs="Times New Roman"/>
          <w:sz w:val="24"/>
          <w:szCs w:val="24"/>
        </w:rPr>
        <w:t>, hukum yang bersifat khusus mengenyampingkan hukum yang bersifat umum.</w:t>
      </w:r>
    </w:p>
    <w:p w:rsidR="00AA7E15" w:rsidRPr="00F868B0" w:rsidRDefault="0078568D"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b/>
          <w:bCs/>
          <w:i/>
          <w:iCs/>
          <w:sz w:val="24"/>
          <w:szCs w:val="24"/>
        </w:rPr>
        <w:t>Kedua</w:t>
      </w:r>
      <w:r w:rsidRPr="00F868B0">
        <w:rPr>
          <w:rFonts w:ascii="Garamond" w:hAnsi="Garamond" w:cs="Times New Roman"/>
          <w:sz w:val="24"/>
          <w:szCs w:val="24"/>
        </w:rPr>
        <w:t xml:space="preserve">, mengenai pelaksanaan hibah wasiat dalam perkara hibah wasiat Nomor: 69/Pdt.G/2009/PN.Pdg., </w:t>
      </w:r>
      <w:r w:rsidR="003C4534" w:rsidRPr="00F868B0">
        <w:rPr>
          <w:rFonts w:ascii="Garamond" w:hAnsi="Garamond" w:cs="Times New Roman"/>
          <w:sz w:val="24"/>
          <w:szCs w:val="24"/>
        </w:rPr>
        <w:t xml:space="preserve">dalam duduk perkara yang dipaparkan dalam salinan putusan, terlihat secara jelas bahwa hibah wasiat yang tertuang dalam Akta Wasiat Nomor XXX Tahun 2000 diberikan kepada Tergugat I selaku isteri sah pewasiat, dan kepada Para Penggugat yang dalam hal ini adalah ahli waris pengganti dari penerima </w:t>
      </w:r>
      <w:r w:rsidR="003C4534" w:rsidRPr="00F868B0">
        <w:rPr>
          <w:rFonts w:ascii="Garamond" w:hAnsi="Garamond" w:cs="Times New Roman"/>
          <w:sz w:val="24"/>
          <w:szCs w:val="24"/>
        </w:rPr>
        <w:lastRenderedPageBreak/>
        <w:t>sah hibah wasiat tersebut, yaitu almarhum enam orang saudara kandung pewasiat yang telah meninggal dunia lebih dahulu dari pewasiat.</w:t>
      </w:r>
    </w:p>
    <w:p w:rsidR="00AA7E15" w:rsidRPr="00F868B0" w:rsidRDefault="003C4534"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Hibah wasiat pelaksanaannya adalah setelah pewasiat/pewaris meninggal dunia. Jika penerima wasiat lebih dahulu meninggal dari pewasiat, maka seharusnya hibah wasiat tersebut menjadi batal demi hukum. terdapat dua ketentuan yang termaktub di dalam KUH Perdata yang menunjukkan hal tersebut, yaitu ketentuan pasal 899 dan pasal 879 KUH Perdata</w:t>
      </w:r>
      <w:r w:rsidR="00E94581" w:rsidRPr="00F868B0">
        <w:rPr>
          <w:rFonts w:ascii="Garamond" w:hAnsi="Garamond" w:cs="Times New Roman"/>
          <w:sz w:val="24"/>
          <w:szCs w:val="24"/>
        </w:rPr>
        <w:t>.</w:t>
      </w:r>
    </w:p>
    <w:p w:rsidR="00AA7E15" w:rsidRPr="00F868B0" w:rsidRDefault="00E94581"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Pasal 899 KUH Perdata menyebutkan bahwa untuk menikmati sesuatu dari suatu surat wasiat, seseorang harus telah ada tatkala pewasiat meninggal dunia. Sedangkan pasal 879 KUH Perdata menerangkan bahwa tidak ada istilah penggantian ahli waris dalam pelaksanaan hibah.</w:t>
      </w:r>
    </w:p>
    <w:p w:rsidR="00AA7E15" w:rsidRPr="00F868B0" w:rsidRDefault="00E94581"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Menyikapi kedua pasal tersebut, penulis kemudian melakukan wawancara dengan Bapak Sapta, hakim yang memeriksa dan memutuskan perkara hibah wasiat Nomor: 69/Pdt.G/2009/PN.Pdg. Menurutnya, kalimat “</w:t>
      </w:r>
      <w:r w:rsidRPr="00F868B0">
        <w:rPr>
          <w:rFonts w:ascii="Garamond" w:hAnsi="Garamond" w:cs="Times New Roman"/>
          <w:i/>
          <w:iCs/>
          <w:sz w:val="24"/>
          <w:szCs w:val="24"/>
        </w:rPr>
        <w:t>seseorang harus telah ada</w:t>
      </w:r>
      <w:r w:rsidRPr="00F868B0">
        <w:rPr>
          <w:rFonts w:ascii="Garamond" w:hAnsi="Garamond" w:cs="Times New Roman"/>
          <w:sz w:val="24"/>
          <w:szCs w:val="24"/>
        </w:rPr>
        <w:t>” dalam ketentuan pasal 899 KUH Perdata itu dapat dipahami dengan “</w:t>
      </w:r>
      <w:r w:rsidRPr="00F868B0">
        <w:rPr>
          <w:rFonts w:ascii="Garamond" w:hAnsi="Garamond" w:cs="Times New Roman"/>
          <w:i/>
          <w:iCs/>
          <w:sz w:val="24"/>
          <w:szCs w:val="24"/>
        </w:rPr>
        <w:t>sudah ada pada saat surat wasiat tersebut dibuat</w:t>
      </w:r>
      <w:r w:rsidRPr="00F868B0">
        <w:rPr>
          <w:rFonts w:ascii="Garamond" w:hAnsi="Garamond" w:cs="Times New Roman"/>
          <w:sz w:val="24"/>
          <w:szCs w:val="24"/>
        </w:rPr>
        <w:t>”. Adapun mengenai pasal 879 KUH Perdata, ia memahami bahwa hal itu berkenaan dengan hibah pengangkatan ahli waris, sehingga berbeda dengan hibah wasiat yang memang harus ditunaikan sebagaimana ya</w:t>
      </w:r>
      <w:r w:rsidR="00AB0833">
        <w:rPr>
          <w:rFonts w:ascii="Garamond" w:hAnsi="Garamond" w:cs="Times New Roman"/>
          <w:sz w:val="24"/>
          <w:szCs w:val="24"/>
        </w:rPr>
        <w:t>ng termaktub dalam akta wasiat. K</w:t>
      </w:r>
      <w:r w:rsidRPr="00F868B0">
        <w:rPr>
          <w:rFonts w:ascii="Garamond" w:hAnsi="Garamond" w:cs="Times New Roman"/>
          <w:sz w:val="24"/>
          <w:szCs w:val="24"/>
        </w:rPr>
        <w:t>emudian, ia menambahkan bahwa sejatinya majelis hakim hanya ingin mengabulkan amanat pewasiat/pewaris yang telah dituangkan dalam Akta Wasiat Nomor XXX Tahun 2000.</w:t>
      </w:r>
      <w:r w:rsidRPr="00F868B0">
        <w:rPr>
          <w:rStyle w:val="FootnoteReference"/>
          <w:rFonts w:ascii="Garamond" w:hAnsi="Garamond"/>
          <w:sz w:val="24"/>
          <w:szCs w:val="24"/>
        </w:rPr>
        <w:footnoteReference w:id="27"/>
      </w:r>
    </w:p>
    <w:p w:rsidR="00AA7E15" w:rsidRPr="00F868B0" w:rsidRDefault="000E3CB6"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Menurut analisa penulis, berdasarkan dua ketentuan tersebut di atas, maka seharusnya secara </w:t>
      </w:r>
      <w:r w:rsidRPr="00F868B0">
        <w:rPr>
          <w:rFonts w:ascii="Garamond" w:hAnsi="Garamond" w:cs="Times New Roman"/>
          <w:i/>
          <w:iCs/>
          <w:sz w:val="24"/>
          <w:szCs w:val="24"/>
        </w:rPr>
        <w:t>de jure</w:t>
      </w:r>
      <w:r w:rsidRPr="00F868B0">
        <w:rPr>
          <w:rFonts w:ascii="Garamond" w:hAnsi="Garamond" w:cs="Times New Roman"/>
          <w:sz w:val="24"/>
          <w:szCs w:val="24"/>
        </w:rPr>
        <w:t xml:space="preserve">, hibah wasiat menjadi batal. Sehingga apabila ingin dilakukan pembagian atas harta peninggalan Pewaris, maka lebih tepatnya diselesaikan dengan proses waris. Namun, dalam fakta persidangan </w:t>
      </w:r>
      <w:r w:rsidRPr="00F868B0">
        <w:rPr>
          <w:rFonts w:ascii="Garamond" w:hAnsi="Garamond" w:cs="Times New Roman"/>
          <w:sz w:val="24"/>
          <w:szCs w:val="24"/>
        </w:rPr>
        <w:lastRenderedPageBreak/>
        <w:t>majelis lebih memahami perkara tersebut sebagai sengketa pelaksanaan wasiat, meskipun majelis mengakui bahwa dalam perkara tersebut juga terdapat perkara warisan Pewaris yang belum dibagikan.</w:t>
      </w:r>
      <w:r w:rsidRPr="00F868B0">
        <w:rPr>
          <w:rFonts w:ascii="Garamond" w:hAnsi="Garamond" w:cs="Times New Roman"/>
          <w:sz w:val="24"/>
          <w:szCs w:val="24"/>
          <w:vertAlign w:val="superscript"/>
        </w:rPr>
        <w:footnoteReference w:id="28"/>
      </w:r>
    </w:p>
    <w:p w:rsidR="00AA7E15" w:rsidRPr="00F868B0" w:rsidRDefault="000E3CB6"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Selain itu, terdapat satu amar putusan hakim pada perkara Nomor: 69/Pdt.G/2009/PN.Pdg., yang dinilai menyalahi kompetensi Peradilan Umum, yaitu menetapkan ahli waris dari pewaris yang seluruhnya beragama Islam. Penyelesaian tersebut jelas merupakan domain dari Peradilan Agama, bukan Peradilan Umum.</w:t>
      </w:r>
      <w:r w:rsidRPr="00F868B0">
        <w:rPr>
          <w:rStyle w:val="FootnoteReference"/>
          <w:rFonts w:ascii="Garamond" w:hAnsi="Garamond"/>
          <w:sz w:val="24"/>
          <w:szCs w:val="24"/>
        </w:rPr>
        <w:footnoteReference w:id="29"/>
      </w:r>
    </w:p>
    <w:p w:rsidR="000E3CB6" w:rsidRPr="00F868B0" w:rsidRDefault="000E3CB6"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Berdasarkan hal tersebut di atas, penulis memahami bahwa sesungguhnya pemahaman hakim terhadap suatu ketentuan dalam UU mempengaruhi pertimbangan dan putusannya. Di samping itu, penulis berasumsi bahwa penyelesaian perkara hibah wasiat Nomor 69/Pdt.G/2009/PN.Pdg., di Pengadilan Negeri masih dibayang-bayangi oleh sejarah Peradilan Agama di Indonesia. Tahun 2009 dinilai sebagai masa transisi berdirinya Peradilan Agama sebagai salah satu badan peradilan yang diakui, sejajar, serta dapat berdiri sendiri tanpa intervensi dari badan peradilan lainnya di Indonesia, khususnya Peradilan Umum. Hal ini agaknya masih memberikan pengaruh bagi hakim dalam menyelesaikan perkara yang secara yuridis memang hanya tertulis dalam salah satu sumber hukum Peradilan Umum, yaitu KUH Perdata.</w:t>
      </w:r>
    </w:p>
    <w:p w:rsidR="000E3CB6" w:rsidRPr="00F868B0" w:rsidRDefault="000E3CB6" w:rsidP="00F868B0">
      <w:pPr>
        <w:spacing w:after="0"/>
        <w:ind w:left="567" w:firstLine="709"/>
        <w:jc w:val="both"/>
        <w:rPr>
          <w:rFonts w:ascii="Garamond" w:hAnsi="Garamond" w:cs="Times New Roman"/>
          <w:bCs/>
          <w:sz w:val="24"/>
          <w:szCs w:val="24"/>
        </w:rPr>
      </w:pPr>
    </w:p>
    <w:p w:rsidR="00AA7E15" w:rsidRPr="000120A9" w:rsidRDefault="00C071B6" w:rsidP="000120A9">
      <w:pPr>
        <w:spacing w:after="0"/>
        <w:jc w:val="both"/>
        <w:rPr>
          <w:rFonts w:ascii="Garamond" w:hAnsi="Garamond" w:cs="Times New Roman"/>
          <w:b/>
          <w:sz w:val="24"/>
          <w:szCs w:val="24"/>
        </w:rPr>
      </w:pPr>
      <w:r w:rsidRPr="000120A9">
        <w:rPr>
          <w:rFonts w:ascii="Garamond" w:hAnsi="Garamond" w:cs="Times New Roman"/>
          <w:b/>
          <w:sz w:val="24"/>
          <w:szCs w:val="24"/>
        </w:rPr>
        <w:t>Pandangan Hukum Islam Terhadap Putusan Pengadilan Negeri Padang Nomor: 69/Pdt.G/2009/PN.Pdg</w:t>
      </w:r>
    </w:p>
    <w:p w:rsidR="0007060E" w:rsidRPr="000120A9" w:rsidRDefault="00682CE5"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 xml:space="preserve">Sebelum membicarakan tentang </w:t>
      </w:r>
      <w:r w:rsidRPr="000120A9">
        <w:rPr>
          <w:rFonts w:ascii="Garamond" w:hAnsi="Garamond" w:cs="Times New Roman"/>
          <w:sz w:val="24"/>
          <w:szCs w:val="24"/>
        </w:rPr>
        <w:t>pandangan</w:t>
      </w:r>
      <w:r w:rsidRPr="00F868B0">
        <w:rPr>
          <w:rFonts w:ascii="Garamond" w:hAnsi="Garamond" w:cs="Times New Roman"/>
          <w:bCs/>
          <w:sz w:val="24"/>
          <w:szCs w:val="24"/>
        </w:rPr>
        <w:t xml:space="preserve"> hukum Islam terhadap putusan Pengadilan Negeri Padang Nomor: 69/Pdt.G/2009/PN.Pdg., perlu </w:t>
      </w:r>
      <w:r w:rsidRPr="00F868B0">
        <w:rPr>
          <w:rFonts w:ascii="Garamond" w:hAnsi="Garamond" w:cs="Times New Roman"/>
          <w:bCs/>
          <w:sz w:val="24"/>
          <w:szCs w:val="24"/>
        </w:rPr>
        <w:lastRenderedPageBreak/>
        <w:t>ditegaskan kembali bahwa meskipun hibah wasiat tidak terdapat dalam literatur hukum Islam, namun ia memiliki kedudukan yang sama dengan wasiat dalam hal pelaksanaannya. Oleh karena itu, untuk memudahkan dalam memahami sub topik ini, maka selanjutnya hibah wasiat di sini akan disebut dengan istilah wasiat.</w:t>
      </w:r>
    </w:p>
    <w:p w:rsidR="00682CE5" w:rsidRPr="00F868B0" w:rsidRDefault="00682CE5"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 xml:space="preserve">Beranjak dari penyelesaian perkara hibah wasiat di Pengadilan Negeri Padang, terdapat dua hal yang perlu dikaji berdasarkan hukum Islam, yaitu perihal </w:t>
      </w:r>
      <w:r w:rsidR="00B4499D" w:rsidRPr="00F868B0">
        <w:rPr>
          <w:rFonts w:ascii="Garamond" w:hAnsi="Garamond" w:cs="Times New Roman"/>
          <w:bCs/>
          <w:sz w:val="24"/>
          <w:szCs w:val="24"/>
        </w:rPr>
        <w:t>pemberian hibah wasiat kepada ahli waris dari penerima sah wasiat, dan mengenai pemberian hibah wasiat melebihi 1/3 dari harta peninggalan pewaris, yaitu sebanyak 50 %. Untuk mendapatkan kesimpulan dari dua hal tersebut dalam pandangan hukum Islam, maka perlu dikaji terlebih dahulu fakta-fakta sebagai berikut:</w:t>
      </w:r>
    </w:p>
    <w:p w:rsidR="00B4499D" w:rsidRPr="000120A9" w:rsidRDefault="00B4499D" w:rsidP="000120A9">
      <w:pPr>
        <w:spacing w:after="0"/>
        <w:jc w:val="both"/>
        <w:rPr>
          <w:rFonts w:ascii="Garamond" w:hAnsi="Garamond" w:cs="Times New Roman"/>
          <w:bCs/>
          <w:sz w:val="24"/>
          <w:szCs w:val="24"/>
        </w:rPr>
      </w:pPr>
    </w:p>
    <w:p w:rsidR="0007060E" w:rsidRPr="000120A9" w:rsidRDefault="00B4499D" w:rsidP="000120A9">
      <w:pPr>
        <w:pStyle w:val="ListParagraph"/>
        <w:numPr>
          <w:ilvl w:val="0"/>
          <w:numId w:val="7"/>
        </w:numPr>
        <w:spacing w:after="0"/>
        <w:ind w:left="284" w:hanging="284"/>
        <w:jc w:val="both"/>
        <w:rPr>
          <w:rFonts w:ascii="Garamond" w:hAnsi="Garamond" w:cs="Times New Roman"/>
          <w:b/>
          <w:sz w:val="24"/>
          <w:szCs w:val="24"/>
        </w:rPr>
      </w:pPr>
      <w:r w:rsidRPr="00F868B0">
        <w:rPr>
          <w:rFonts w:ascii="Garamond" w:hAnsi="Garamond" w:cs="Times New Roman"/>
          <w:b/>
          <w:sz w:val="24"/>
          <w:szCs w:val="24"/>
        </w:rPr>
        <w:t xml:space="preserve">Wasiat batal apabila penerima </w:t>
      </w:r>
      <w:r w:rsidR="00BD6B21" w:rsidRPr="00F868B0">
        <w:rPr>
          <w:rFonts w:ascii="Garamond" w:hAnsi="Garamond" w:cs="Times New Roman"/>
          <w:b/>
          <w:sz w:val="24"/>
          <w:szCs w:val="24"/>
        </w:rPr>
        <w:t>wasiat telah meninggal terlebih dahulu dari pewasiat</w:t>
      </w:r>
    </w:p>
    <w:p w:rsidR="0007060E" w:rsidRPr="00F868B0" w:rsidRDefault="001A367E"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Jumhur ulama berpendapat bahwa wasiat batal apabila penerima wasiat telah meninggal dunia terlebih dari pewasiat. Alasannya adalah bahwa wasiat merupakan pemberian, dan pemberian tersebut telah diperuntukkan untuk penerima wasiat.</w:t>
      </w:r>
      <w:r w:rsidRPr="00F868B0">
        <w:rPr>
          <w:rStyle w:val="FootnoteReference"/>
          <w:rFonts w:ascii="Garamond" w:hAnsi="Garamond"/>
          <w:bCs/>
          <w:sz w:val="24"/>
          <w:szCs w:val="24"/>
        </w:rPr>
        <w:footnoteReference w:id="30"/>
      </w:r>
      <w:r w:rsidRPr="00F868B0">
        <w:rPr>
          <w:rFonts w:ascii="Garamond" w:hAnsi="Garamond" w:cs="Times New Roman"/>
          <w:bCs/>
          <w:sz w:val="24"/>
          <w:szCs w:val="24"/>
        </w:rPr>
        <w:t xml:space="preserve"> Sehingga apabila penerima wasiat meninggal terlebih dahulu, maka akad wasiat menjadi batal dengan sendirinya.</w:t>
      </w:r>
    </w:p>
    <w:p w:rsidR="001A367E" w:rsidRPr="00F868B0" w:rsidRDefault="001A367E"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Berdasarkan hal ini terlihat bahwa dalam hukum Islam tidak ada istilah penggantian untuk penerimaan harta yang telah diwasiatkan. Harta tersebut kembali berstatus harta peninggalan dari pewasiat yang kemudian mesti dibagikan kepada ahli waris yang berhak. Dengan demikian, pemberian wasiat kepada ahli waris penerima hibah pada perkara Nomor: </w:t>
      </w:r>
      <w:r w:rsidRPr="00F868B0">
        <w:rPr>
          <w:rFonts w:ascii="Garamond" w:hAnsi="Garamond" w:cs="Times New Roman"/>
          <w:sz w:val="24"/>
          <w:szCs w:val="24"/>
        </w:rPr>
        <w:lastRenderedPageBreak/>
        <w:t>69/Pdt.G/2009/PN.Pdg., tidak sesuai dengan hukum Islam dan semestinya harus dialihkan kepada status waris.</w:t>
      </w:r>
    </w:p>
    <w:p w:rsidR="00A87769" w:rsidRPr="00F868B0" w:rsidRDefault="00A87769" w:rsidP="00F868B0">
      <w:pPr>
        <w:spacing w:after="0"/>
        <w:ind w:left="851" w:firstLine="709"/>
        <w:jc w:val="both"/>
        <w:rPr>
          <w:rFonts w:ascii="Garamond" w:hAnsi="Garamond" w:cs="Times New Roman"/>
          <w:sz w:val="24"/>
          <w:szCs w:val="24"/>
        </w:rPr>
      </w:pPr>
    </w:p>
    <w:p w:rsidR="0007060E" w:rsidRPr="000120A9" w:rsidRDefault="00BD6B21" w:rsidP="000120A9">
      <w:pPr>
        <w:pStyle w:val="ListParagraph"/>
        <w:numPr>
          <w:ilvl w:val="0"/>
          <w:numId w:val="7"/>
        </w:numPr>
        <w:spacing w:after="0"/>
        <w:ind w:left="284" w:hanging="284"/>
        <w:jc w:val="both"/>
        <w:rPr>
          <w:rFonts w:ascii="Garamond" w:hAnsi="Garamond" w:cs="Times New Roman"/>
          <w:b/>
          <w:sz w:val="24"/>
          <w:szCs w:val="24"/>
        </w:rPr>
      </w:pPr>
      <w:r w:rsidRPr="00F868B0">
        <w:rPr>
          <w:rFonts w:ascii="Garamond" w:hAnsi="Garamond" w:cs="Times New Roman"/>
          <w:b/>
          <w:sz w:val="24"/>
          <w:szCs w:val="24"/>
        </w:rPr>
        <w:t>Wasiat tidak diperbolehkan kepada ahli waris, kecuali seluruh ahli waris menyetujui</w:t>
      </w:r>
    </w:p>
    <w:p w:rsidR="00805F12" w:rsidRPr="00F868B0" w:rsidRDefault="00805F12" w:rsidP="000120A9">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 xml:space="preserve">Ulama </w:t>
      </w:r>
      <w:r w:rsidRPr="000120A9">
        <w:rPr>
          <w:rFonts w:ascii="Garamond" w:hAnsi="Garamond" w:cs="Times New Roman"/>
          <w:sz w:val="24"/>
          <w:szCs w:val="24"/>
        </w:rPr>
        <w:t>sepakat</w:t>
      </w:r>
      <w:r w:rsidRPr="00F868B0">
        <w:rPr>
          <w:rFonts w:ascii="Garamond" w:hAnsi="Garamond" w:cs="Times New Roman"/>
          <w:bCs/>
          <w:sz w:val="24"/>
          <w:szCs w:val="24"/>
        </w:rPr>
        <w:t xml:space="preserve"> bahwa tidak boleh berwasiat kepada ahli waris, kecuali dalam kondisi seluruh ahli waris menyetujui hal tersebut. Hal ini berdasarkan hadis Rasulullah SAW., sebagai berikut:</w:t>
      </w:r>
    </w:p>
    <w:p w:rsidR="0007060E" w:rsidRPr="00F868B0" w:rsidRDefault="0007060E" w:rsidP="00F868B0">
      <w:pPr>
        <w:pStyle w:val="ListParagraph"/>
        <w:spacing w:after="0"/>
        <w:ind w:left="851" w:firstLine="709"/>
        <w:jc w:val="both"/>
        <w:rPr>
          <w:rFonts w:ascii="Garamond" w:hAnsi="Garamond" w:cs="Times New Roman"/>
          <w:bCs/>
          <w:sz w:val="24"/>
          <w:szCs w:val="24"/>
        </w:rPr>
      </w:pPr>
    </w:p>
    <w:p w:rsidR="00C05F23" w:rsidRPr="00F868B0" w:rsidRDefault="00805F12" w:rsidP="000120A9">
      <w:pPr>
        <w:pStyle w:val="ListParagraph"/>
        <w:bidi/>
        <w:spacing w:after="0"/>
        <w:ind w:left="0"/>
        <w:jc w:val="both"/>
        <w:rPr>
          <w:rFonts w:ascii="Garamond" w:hAnsi="Garamond" w:cs="Traditional Arabic"/>
          <w:sz w:val="24"/>
          <w:szCs w:val="24"/>
        </w:rPr>
      </w:pPr>
      <w:r w:rsidRPr="00F868B0">
        <w:rPr>
          <w:rFonts w:ascii="Garamond" w:hAnsi="Garamond" w:cs="Traditional Arabic" w:hint="eastAsia"/>
          <w:sz w:val="24"/>
          <w:szCs w:val="24"/>
          <w:rtl/>
        </w:rPr>
        <w:t>حَدَّثَنَا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هِشامُ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عَمَّارٍ</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حَدَّثَنَا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إسْمَاعِيْلُ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عَيَّاشٍ</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حَدَّثَنَا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شُرَحْبِيلُ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مسلمٍ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الخَوَلاَنِيّ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سَمِعْتُ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أبَا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أُمَامَةَ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البَاهِلِيَّ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يقول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سَمِعْتُ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رَسُولَ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عليه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وسلَّم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يَقُوْلُ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خُطْبَتِهِ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عَامَ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حَجَّةِ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الوَدَاعِ</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إِنَّ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أعْطَى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كُلَّ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ذِي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حَقٍّ</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حَقَّهُ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فَلاَ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وَصِيَّةَ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لِوَارِثٍ</w:t>
      </w:r>
      <w:r w:rsidRPr="00F868B0">
        <w:rPr>
          <w:rFonts w:ascii="Garamond" w:hAnsi="Garamond" w:cs="Traditional Arabic"/>
          <w:sz w:val="24"/>
          <w:szCs w:val="24"/>
          <w:rtl/>
        </w:rPr>
        <w:t>. (</w:t>
      </w:r>
      <w:r w:rsidRPr="00F868B0">
        <w:rPr>
          <w:rFonts w:ascii="Garamond" w:hAnsi="Garamond" w:cs="Traditional Arabic" w:hint="eastAsia"/>
          <w:sz w:val="24"/>
          <w:szCs w:val="24"/>
          <w:rtl/>
        </w:rPr>
        <w:t>رواه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إبن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ماجه</w:t>
      </w:r>
      <w:r w:rsidRPr="00F868B0">
        <w:rPr>
          <w:rFonts w:ascii="Garamond" w:hAnsi="Garamond" w:cs="Traditional Arabic"/>
          <w:sz w:val="24"/>
          <w:szCs w:val="24"/>
          <w:rtl/>
        </w:rPr>
        <w:t>)</w:t>
      </w:r>
      <w:r w:rsidRPr="00F868B0">
        <w:rPr>
          <w:rStyle w:val="FootnoteReference"/>
          <w:rFonts w:ascii="Garamond" w:hAnsi="Garamond"/>
          <w:sz w:val="24"/>
          <w:szCs w:val="24"/>
          <w:rtl/>
        </w:rPr>
        <w:footnoteReference w:id="31"/>
      </w:r>
    </w:p>
    <w:p w:rsidR="00805F12" w:rsidRPr="00F868B0" w:rsidRDefault="00805F12" w:rsidP="000120A9">
      <w:pPr>
        <w:spacing w:after="0"/>
        <w:jc w:val="both"/>
        <w:rPr>
          <w:rFonts w:ascii="Garamond" w:hAnsi="Garamond" w:cs="Times New Roman"/>
          <w:sz w:val="24"/>
          <w:szCs w:val="24"/>
        </w:rPr>
      </w:pPr>
      <w:r w:rsidRPr="00F868B0">
        <w:rPr>
          <w:rFonts w:ascii="Garamond" w:hAnsi="Garamond" w:cs="Times New Roman"/>
          <w:sz w:val="24"/>
          <w:szCs w:val="24"/>
        </w:rPr>
        <w:t>Artinya:</w:t>
      </w:r>
    </w:p>
    <w:p w:rsidR="00274CB4" w:rsidRPr="00F868B0" w:rsidRDefault="00805F12" w:rsidP="000120A9">
      <w:pPr>
        <w:pStyle w:val="ListParagraph"/>
        <w:spacing w:after="0"/>
        <w:ind w:left="709"/>
        <w:jc w:val="both"/>
        <w:rPr>
          <w:rFonts w:ascii="Garamond" w:hAnsi="Garamond" w:cs="Times New Roman"/>
          <w:sz w:val="24"/>
          <w:szCs w:val="24"/>
        </w:rPr>
      </w:pPr>
      <w:r w:rsidRPr="00F868B0">
        <w:rPr>
          <w:rFonts w:ascii="Garamond" w:hAnsi="Garamond" w:cs="Times New Roman"/>
          <w:i/>
          <w:iCs/>
          <w:sz w:val="24"/>
          <w:szCs w:val="24"/>
        </w:rPr>
        <w:t>“Telah menceritakan kepada kami Hisyam ibn ‘Ammār ia berkata, telah menceritakan kepada kami Ismā’īl ibn ‘Abbās ia berkata, telah menceritakan kepada kami Syura</w:t>
      </w:r>
      <w:r w:rsidRPr="00F868B0">
        <w:rPr>
          <w:rFonts w:asciiTheme="majorBidi" w:hAnsiTheme="majorBidi" w:cs="Times New Roman"/>
          <w:i/>
          <w:iCs/>
          <w:sz w:val="24"/>
          <w:szCs w:val="24"/>
        </w:rPr>
        <w:t>ḥ</w:t>
      </w:r>
      <w:r w:rsidRPr="00F868B0">
        <w:rPr>
          <w:rFonts w:ascii="Garamond" w:hAnsi="Garamond" w:cs="Times New Roman"/>
          <w:i/>
          <w:iCs/>
          <w:sz w:val="24"/>
          <w:szCs w:val="24"/>
        </w:rPr>
        <w:t>bīl ibn Muslim al-Khawalānī ia berkata, aku mendengar ayah Umāmah al-Bāhilī berkata, aku mendengar Rasulullah SAW., bersabda pada saat haji wada’: ‘Sesungguhnya Allah telah memberikan masing-masing orang haknya, maka tidak ada harta wasiat untuk ahli waris’.” (HR. Ibn Mājah)</w:t>
      </w:r>
    </w:p>
    <w:p w:rsidR="00274CB4" w:rsidRPr="00F868B0" w:rsidRDefault="00274CB4" w:rsidP="00F868B0">
      <w:pPr>
        <w:pStyle w:val="ListParagraph"/>
        <w:spacing w:after="0"/>
        <w:ind w:left="426"/>
        <w:jc w:val="both"/>
        <w:rPr>
          <w:rFonts w:ascii="Garamond" w:hAnsi="Garamond" w:cs="Times New Roman"/>
          <w:sz w:val="24"/>
          <w:szCs w:val="24"/>
        </w:rPr>
      </w:pPr>
    </w:p>
    <w:p w:rsidR="00274CB4" w:rsidRPr="00F868B0" w:rsidRDefault="00274CB4" w:rsidP="000120A9">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Dan hadis lainnya yang berbunyi sebagai berikut:</w:t>
      </w:r>
    </w:p>
    <w:p w:rsidR="00274CB4" w:rsidRPr="00F868B0" w:rsidRDefault="00274CB4" w:rsidP="000120A9">
      <w:pPr>
        <w:pStyle w:val="ListParagraph"/>
        <w:bidi/>
        <w:spacing w:after="0"/>
        <w:ind w:left="0"/>
        <w:jc w:val="both"/>
        <w:rPr>
          <w:rFonts w:ascii="Garamond" w:hAnsi="Garamond" w:cs="Traditional Arabic"/>
          <w:sz w:val="24"/>
          <w:szCs w:val="24"/>
        </w:rPr>
      </w:pPr>
      <w:r w:rsidRPr="00F868B0">
        <w:rPr>
          <w:rFonts w:ascii="Garamond" w:hAnsi="Garamond" w:cs="Traditional Arabic" w:hint="eastAsia"/>
          <w:sz w:val="24"/>
          <w:szCs w:val="24"/>
          <w:rtl/>
        </w:rPr>
        <w:t>حَدَّثَنَا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أبُو</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بَكْرِ</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أبِي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شَيْبَةَ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حدّثنا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يَزِيْدُ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هاَرُون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أنْبَأَنَا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سعيدُ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أبِي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عروبةَ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قَتَادَةَ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شَهْرِ</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حوشبٍ</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عبدِالرّحْمن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غنمٍ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عمرِو</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خَارجَةَ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النَّبِيَّ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صلّى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عليه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وسلّم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خَطَبَهُمْ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وهُوَ</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رَاحِلَتِهِ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وإنَّ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رَاحِلَتَهُ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lastRenderedPageBreak/>
        <w:t>لتقصَعُ</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بِجِرَّتِهَا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وإنَّ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لُغَامَهَا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لَيَسِيْلُ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بَيْنَ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كَتِفَيَّ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إِنَّ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قَسَمَ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لِكُلِّ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وَارِثٍ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نَصِيْبَهُ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المِيْرَاثِ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فَلاَ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تَجُوْزُ</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لِوَارِثٍ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وَصِيَّةٌ</w:t>
      </w:r>
      <w:r w:rsidRPr="00F868B0">
        <w:rPr>
          <w:rFonts w:ascii="Garamond" w:hAnsi="Garamond" w:cs="Traditional Arabic"/>
          <w:sz w:val="24"/>
          <w:szCs w:val="24"/>
          <w:rtl/>
        </w:rPr>
        <w:t>. (</w:t>
      </w:r>
      <w:r w:rsidRPr="00F868B0">
        <w:rPr>
          <w:rFonts w:ascii="Garamond" w:hAnsi="Garamond" w:cs="Traditional Arabic" w:hint="eastAsia"/>
          <w:sz w:val="24"/>
          <w:szCs w:val="24"/>
          <w:rtl/>
        </w:rPr>
        <w:t>رواه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إبن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ماجه</w:t>
      </w:r>
      <w:r w:rsidRPr="00F868B0">
        <w:rPr>
          <w:rFonts w:ascii="Garamond" w:hAnsi="Garamond" w:cs="Traditional Arabic"/>
          <w:sz w:val="24"/>
          <w:szCs w:val="24"/>
          <w:rtl/>
        </w:rPr>
        <w:t>)</w:t>
      </w:r>
      <w:r w:rsidRPr="00F868B0">
        <w:rPr>
          <w:rStyle w:val="FootnoteReference"/>
          <w:rFonts w:ascii="Garamond" w:hAnsi="Garamond"/>
          <w:sz w:val="24"/>
          <w:szCs w:val="24"/>
          <w:rtl/>
        </w:rPr>
        <w:footnoteReference w:id="32"/>
      </w:r>
    </w:p>
    <w:p w:rsidR="00274CB4" w:rsidRPr="00F868B0" w:rsidRDefault="00274CB4" w:rsidP="009F77BA">
      <w:pPr>
        <w:pStyle w:val="ListParagraph"/>
        <w:spacing w:after="0"/>
        <w:ind w:left="0" w:right="851"/>
        <w:jc w:val="both"/>
        <w:rPr>
          <w:rFonts w:ascii="Garamond" w:hAnsi="Garamond" w:cs="Times New Roman"/>
          <w:sz w:val="24"/>
          <w:szCs w:val="24"/>
        </w:rPr>
      </w:pPr>
      <w:r w:rsidRPr="00F868B0">
        <w:rPr>
          <w:rFonts w:ascii="Garamond" w:hAnsi="Garamond" w:cs="Times New Roman"/>
          <w:sz w:val="24"/>
          <w:szCs w:val="24"/>
        </w:rPr>
        <w:t>Artinya:</w:t>
      </w:r>
    </w:p>
    <w:p w:rsidR="00274CB4" w:rsidRPr="00F868B0" w:rsidRDefault="00274CB4" w:rsidP="009F77BA">
      <w:pPr>
        <w:pStyle w:val="ListParagraph"/>
        <w:spacing w:after="0"/>
        <w:ind w:left="709"/>
        <w:jc w:val="both"/>
        <w:rPr>
          <w:rFonts w:ascii="Garamond" w:hAnsi="Garamond" w:cs="Times New Roman"/>
          <w:sz w:val="24"/>
          <w:szCs w:val="24"/>
        </w:rPr>
      </w:pPr>
      <w:r w:rsidRPr="00F868B0">
        <w:rPr>
          <w:rFonts w:ascii="Garamond" w:hAnsi="Garamond" w:cs="Times New Roman"/>
          <w:i/>
          <w:iCs/>
          <w:sz w:val="24"/>
          <w:szCs w:val="24"/>
        </w:rPr>
        <w:t xml:space="preserve">“Telah mengatakan kepada kami Abū Bakr ibn Syaibah ia berkata, telah mengatakan kepada kami Yazīd ibn Hārūn ia berkata, telah menceritakan kepada kami Sa’īd ibn Abī ‘Arūbah dari Qatādah dari Syahr ibn </w:t>
      </w:r>
      <w:r w:rsidRPr="00F868B0">
        <w:rPr>
          <w:rFonts w:asciiTheme="majorBidi" w:hAnsiTheme="majorBidi" w:cs="Times New Roman"/>
          <w:i/>
          <w:iCs/>
          <w:sz w:val="24"/>
          <w:szCs w:val="24"/>
        </w:rPr>
        <w:t>Ḥ</w:t>
      </w:r>
      <w:r w:rsidRPr="00F868B0">
        <w:rPr>
          <w:rFonts w:ascii="Garamond" w:hAnsi="Garamond" w:cs="Times New Roman"/>
          <w:i/>
          <w:iCs/>
          <w:sz w:val="24"/>
          <w:szCs w:val="24"/>
        </w:rPr>
        <w:t>ausyab dari ‘Abd al-Rahman ibn Ghanam dari ‘Amri ibn Khārijah bahwasanya Nabi SAW., berkhutbah di hadapan mereka dan beliau sedang berada di atas kendaraan (berupa unta) yang sedang mengunyah makanan, sementara air ludahnya mengalir di antara kedua bahuku, beliau bersabda: ‘Sesungguhnya Allah telah membagi harta warisan sesuai bagian masing-masing ahli waris, sehingga ahli waris tidak boleh mendapatkan wasiat’.” (HR. Ibn Mājah)</w:t>
      </w:r>
    </w:p>
    <w:p w:rsidR="00274CB4" w:rsidRPr="00F868B0" w:rsidRDefault="00274CB4" w:rsidP="00F868B0">
      <w:pPr>
        <w:pStyle w:val="ListParagraph"/>
        <w:spacing w:after="0"/>
        <w:ind w:left="851"/>
        <w:jc w:val="both"/>
        <w:rPr>
          <w:rFonts w:ascii="Garamond" w:hAnsi="Garamond" w:cs="Times New Roman"/>
          <w:sz w:val="24"/>
          <w:szCs w:val="24"/>
        </w:rPr>
      </w:pPr>
    </w:p>
    <w:p w:rsidR="0007060E" w:rsidRPr="009F77BA" w:rsidRDefault="00274CB4"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Hadis Rasulullah SAW., di atas pada dasarnya merupakan landasan bagi Jumhur Ulama, yang dalam hal ini adalah Abū Bakr ra., Alī ibn Abī Thalib, Ibn ‘Umar dan Abū Mūsā menyebutkan bahwa ayat 180 surat al-Baqarah dan ayat 106 surat al-Māidah telah di-</w:t>
      </w:r>
      <w:r w:rsidRPr="00F868B0">
        <w:rPr>
          <w:rFonts w:ascii="Garamond" w:hAnsi="Garamond" w:cs="Times New Roman"/>
          <w:i/>
          <w:iCs/>
          <w:sz w:val="24"/>
          <w:szCs w:val="24"/>
        </w:rPr>
        <w:t>nāsakh</w:t>
      </w:r>
      <w:r w:rsidRPr="00F868B0">
        <w:rPr>
          <w:rFonts w:ascii="Garamond" w:hAnsi="Garamond" w:cs="Times New Roman"/>
          <w:sz w:val="24"/>
          <w:szCs w:val="24"/>
        </w:rPr>
        <w:t xml:space="preserve"> oleh ayat 11, 12, dan 176 surat al-Nisā’. Artinya, tidak ada lagi wasiat bagi orang-orang yang disebutkan dalam surat al-Maidah ayat 160, karena bagi mereka telah diperuntukkan warisan sebagaimana yang diatur dalam ayat 11, 12, dan 176 surat al-Nisā’.</w:t>
      </w:r>
    </w:p>
    <w:p w:rsidR="00866C14" w:rsidRPr="009F77BA" w:rsidRDefault="00866C14"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Pada fakta hukum dalam perkara hibah wasiat Nomor: 69/Pdt.G/2009/PN.Pdg., jelas telah terjadi sengketa di antara penerima wasiat terkait pelaksanaan wasiat yang telah dibuat. Oleh sebab itu, maka wasiatnya menjadi batal, baik untuk isteri pewasiat yang masih hidup, apalagi untuk saudara-saudara pewasiat yang telah meninggal lebih dahulu dari pewasiat.</w:t>
      </w:r>
    </w:p>
    <w:p w:rsidR="00866C14" w:rsidRPr="00F868B0" w:rsidRDefault="00866C14"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lastRenderedPageBreak/>
        <w:t xml:space="preserve">Apabila para pihak tetap ingin menyelesaikan perkara tersebut, maka cara penyelesaian yang tepat menurut hukum Islam adalah dengan membaginya sesuai dengan ketentuan waris. Sebelum membagi harta warisan tersebut, harus diawali dengan pembagian harta bersama antara tergugat I yang merupakan isteri sah pewasiat/pewaris dengan pewasiat/pewaris. Kemudian dikeluarkan kewajiban-kewajiban lainnya atas nama pewaris, untuk selanjutnya dilakukan membagian harta sesuai dengan ketentuan waris, yaitu diperuntukkan bagi isteri pewaris sebanyak ¼ dari harta warisan, dan untuk anak-anak dari saudara-saudara kandung pewaris sebagai ahli waris pengganti dengan kedudukan sebagai </w:t>
      </w:r>
      <w:r w:rsidRPr="00F868B0">
        <w:rPr>
          <w:rFonts w:ascii="Garamond" w:hAnsi="Garamond" w:cs="Times New Roman"/>
          <w:i/>
          <w:iCs/>
          <w:sz w:val="24"/>
          <w:szCs w:val="24"/>
        </w:rPr>
        <w:t>a</w:t>
      </w:r>
      <w:r w:rsidRPr="00F868B0">
        <w:rPr>
          <w:rFonts w:asciiTheme="majorBidi" w:hAnsiTheme="majorBidi" w:cs="Times New Roman"/>
          <w:i/>
          <w:iCs/>
          <w:sz w:val="24"/>
          <w:szCs w:val="24"/>
        </w:rPr>
        <w:t>ṣ</w:t>
      </w:r>
      <w:r w:rsidRPr="00F868B0">
        <w:rPr>
          <w:rFonts w:ascii="Garamond" w:hAnsi="Garamond" w:cs="Times New Roman"/>
          <w:i/>
          <w:iCs/>
          <w:sz w:val="24"/>
          <w:szCs w:val="24"/>
        </w:rPr>
        <w:t>abah</w:t>
      </w:r>
      <w:r w:rsidRPr="00F868B0">
        <w:rPr>
          <w:rFonts w:ascii="Garamond" w:hAnsi="Garamond" w:cs="Times New Roman"/>
          <w:sz w:val="24"/>
          <w:szCs w:val="24"/>
        </w:rPr>
        <w:t xml:space="preserve"> (menghabiskan sisa harta), dengan catatan bagian tersebut tidak melebihi dari bagian ahli waris sederajat dengan yang diganti.</w:t>
      </w:r>
      <w:r w:rsidRPr="00F868B0">
        <w:rPr>
          <w:rStyle w:val="FootnoteReference"/>
          <w:rFonts w:ascii="Garamond" w:hAnsi="Garamond"/>
          <w:sz w:val="24"/>
          <w:szCs w:val="24"/>
        </w:rPr>
        <w:footnoteReference w:id="33"/>
      </w:r>
      <w:r w:rsidRPr="00F868B0">
        <w:rPr>
          <w:rFonts w:ascii="Garamond" w:hAnsi="Garamond" w:cs="Times New Roman"/>
          <w:sz w:val="24"/>
          <w:szCs w:val="24"/>
        </w:rPr>
        <w:t xml:space="preserve"> </w:t>
      </w:r>
    </w:p>
    <w:p w:rsidR="00F868B0" w:rsidRPr="009F77BA" w:rsidRDefault="00F868B0" w:rsidP="009F77BA">
      <w:pPr>
        <w:spacing w:after="0"/>
        <w:jc w:val="both"/>
        <w:rPr>
          <w:rFonts w:ascii="Garamond" w:hAnsi="Garamond" w:cs="Times New Roman"/>
          <w:bCs/>
          <w:sz w:val="24"/>
          <w:szCs w:val="24"/>
        </w:rPr>
      </w:pPr>
    </w:p>
    <w:p w:rsidR="0007060E" w:rsidRPr="009F77BA" w:rsidRDefault="00BD6B21" w:rsidP="009F77BA">
      <w:pPr>
        <w:pStyle w:val="ListParagraph"/>
        <w:numPr>
          <w:ilvl w:val="0"/>
          <w:numId w:val="7"/>
        </w:numPr>
        <w:spacing w:after="0"/>
        <w:ind w:left="284" w:hanging="284"/>
        <w:jc w:val="both"/>
        <w:rPr>
          <w:rFonts w:ascii="Garamond" w:hAnsi="Garamond" w:cs="Times New Roman"/>
          <w:b/>
          <w:sz w:val="24"/>
          <w:szCs w:val="24"/>
        </w:rPr>
      </w:pPr>
      <w:r w:rsidRPr="00F868B0">
        <w:rPr>
          <w:rFonts w:ascii="Garamond" w:hAnsi="Garamond" w:cs="Times New Roman"/>
          <w:b/>
          <w:sz w:val="24"/>
          <w:szCs w:val="24"/>
        </w:rPr>
        <w:t>Putusan Nomor: 69/Pdt.G/2009/PN.Pdg., telah berkekuatan hukum tetap dan tidak ada upaya hukum apapun dari para pihak untuk membantahnya</w:t>
      </w:r>
    </w:p>
    <w:p w:rsidR="0007060E" w:rsidRPr="00F868B0" w:rsidRDefault="00866C14"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bCs/>
          <w:sz w:val="24"/>
          <w:szCs w:val="24"/>
        </w:rPr>
        <w:t xml:space="preserve">Berdasarkan fakta hukum setelah putusan </w:t>
      </w:r>
      <w:r w:rsidRPr="009F77BA">
        <w:rPr>
          <w:rFonts w:ascii="Garamond" w:hAnsi="Garamond" w:cs="Times New Roman"/>
          <w:sz w:val="24"/>
          <w:szCs w:val="24"/>
        </w:rPr>
        <w:t>dibacakan</w:t>
      </w:r>
      <w:r w:rsidRPr="00F868B0">
        <w:rPr>
          <w:rFonts w:ascii="Garamond" w:hAnsi="Garamond" w:cs="Times New Roman"/>
          <w:bCs/>
          <w:sz w:val="24"/>
          <w:szCs w:val="24"/>
        </w:rPr>
        <w:t xml:space="preserve"> tidak terdapat bantahan dari para pihak. Para pihak tidak satupun mengajukan upaya hukum untuk m</w:t>
      </w:r>
      <w:r w:rsidR="00CE008D" w:rsidRPr="00F868B0">
        <w:rPr>
          <w:rFonts w:ascii="Garamond" w:hAnsi="Garamond" w:cs="Times New Roman"/>
          <w:bCs/>
          <w:sz w:val="24"/>
          <w:szCs w:val="24"/>
        </w:rPr>
        <w:t xml:space="preserve">enyanggah putusan hakim dalam perkara hibah wasiat Nomor: 69/Pdt.G/2009/PN.Pdg. Artinya, para pihak setuju dengan putusan hakim. Tergugat menerima secara sukarela putusan hakim mengenai penyerahan </w:t>
      </w:r>
      <w:r w:rsidR="00CE008D" w:rsidRPr="00F868B0">
        <w:rPr>
          <w:rFonts w:ascii="Garamond" w:hAnsi="Garamond" w:cs="Times New Roman"/>
          <w:sz w:val="24"/>
          <w:szCs w:val="24"/>
        </w:rPr>
        <w:t>50 % saham milik Pewaris kepada Para Penggugat sebagaimana yang termaktub di dalam Akta Wasiat.</w:t>
      </w:r>
    </w:p>
    <w:p w:rsidR="00CE008D" w:rsidRPr="00F868B0" w:rsidRDefault="00CE008D"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bCs/>
          <w:sz w:val="24"/>
          <w:szCs w:val="24"/>
        </w:rPr>
        <w:t xml:space="preserve">Namun, dalam ketentuan hukum Islam </w:t>
      </w:r>
      <w:r w:rsidRPr="00F868B0">
        <w:rPr>
          <w:rFonts w:ascii="Garamond" w:hAnsi="Garamond" w:cs="Times New Roman"/>
          <w:sz w:val="24"/>
          <w:szCs w:val="24"/>
        </w:rPr>
        <w:t>Pemberian wasiat lebih dari 1/3 harta peninggalan jelas keliru. Hal ini berdasarkan hadis Rasulullah SAW., sebagai berikut:</w:t>
      </w:r>
    </w:p>
    <w:p w:rsidR="0007060E" w:rsidRPr="00F868B0" w:rsidRDefault="0007060E" w:rsidP="00F868B0">
      <w:pPr>
        <w:spacing w:after="0"/>
        <w:ind w:left="851" w:firstLine="709"/>
        <w:jc w:val="both"/>
        <w:rPr>
          <w:rFonts w:ascii="Garamond" w:hAnsi="Garamond" w:cs="Times New Roman"/>
          <w:sz w:val="24"/>
          <w:szCs w:val="24"/>
        </w:rPr>
      </w:pPr>
    </w:p>
    <w:p w:rsidR="00CE008D" w:rsidRPr="00F868B0" w:rsidRDefault="00CE008D" w:rsidP="009F77BA">
      <w:pPr>
        <w:pStyle w:val="ListParagraph"/>
        <w:bidi/>
        <w:spacing w:after="0"/>
        <w:ind w:left="0"/>
        <w:jc w:val="both"/>
        <w:rPr>
          <w:rFonts w:ascii="Garamond" w:hAnsi="Garamond" w:cs="Traditional Arabic"/>
          <w:sz w:val="24"/>
          <w:szCs w:val="24"/>
        </w:rPr>
      </w:pPr>
      <w:r w:rsidRPr="00F868B0">
        <w:rPr>
          <w:rFonts w:ascii="Garamond" w:hAnsi="Garamond" w:cs="Traditional Arabic" w:hint="eastAsia"/>
          <w:sz w:val="24"/>
          <w:szCs w:val="24"/>
          <w:rtl/>
        </w:rPr>
        <w:lastRenderedPageBreak/>
        <w:t>حَدَّثَنِى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مُحَمّدُ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عَبْدِ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الرَّحِيْمِ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حَدَّثَنَا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زَكَرِيَّاءُ</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عَدِيٍّ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حَدَّثَنَا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مَرْوَانُ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هَاشِمِ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هَاشِمٍ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عَامِرِ</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سَعْدٍ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أَبِيْهِ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رَضِىَ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عَنْهُ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مَرِضْتُ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فَعَادَنِى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النَّبِيُّ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صلى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عليه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سلم</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فقلت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رَسُوْلَ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 </w:t>
      </w:r>
      <w:r w:rsidRPr="00F868B0">
        <w:rPr>
          <w:rFonts w:ascii="Garamond" w:hAnsi="Garamond" w:cs="Traditional Arabic" w:hint="eastAsia"/>
          <w:sz w:val="24"/>
          <w:szCs w:val="24"/>
          <w:rtl/>
        </w:rPr>
        <w:t>ادْعُ</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يَرُدَّنِى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عَقِبِي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لَعَلَّ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يَرْفَعُكَ</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وَيَنْفَعُ</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بِكَ</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نَاسا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قُلْتُ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أُرِيْدُ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أُوْصِيَ</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وَإِنَّمَا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ابْنَةٌ</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فَقُلْتُ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أُوْصى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بِالنِّصْفِ؟</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النِّصْفُ</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كَثِيْرٌ</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قُلْتُ</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فَالثُّلُثُ؟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الثُّلُثُ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وَالثُّلُثُ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كَثِيْرٌ</w:t>
      </w:r>
      <w:r w:rsidRPr="00F868B0">
        <w:rPr>
          <w:rFonts w:ascii="Garamond" w:hAnsi="Garamond" w:cs="Traditional Arabic"/>
          <w:sz w:val="24"/>
          <w:szCs w:val="24"/>
          <w:rtl/>
        </w:rPr>
        <w:t xml:space="preserve"> – </w:t>
      </w:r>
      <w:r w:rsidRPr="00F868B0">
        <w:rPr>
          <w:rFonts w:ascii="Garamond" w:hAnsi="Garamond" w:cs="Traditional Arabic" w:hint="eastAsia"/>
          <w:sz w:val="24"/>
          <w:szCs w:val="24"/>
          <w:rtl/>
        </w:rPr>
        <w:t>أَوْ</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كَبِيْرٌ</w:t>
      </w:r>
      <w:r w:rsidRPr="00F868B0">
        <w:rPr>
          <w:rFonts w:ascii="Garamond" w:hAnsi="Garamond" w:cs="Traditional Arabic"/>
          <w:sz w:val="24"/>
          <w:szCs w:val="24"/>
          <w:rtl/>
        </w:rPr>
        <w:t xml:space="preserve"> – </w:t>
      </w:r>
      <w:r w:rsidRPr="00F868B0">
        <w:rPr>
          <w:rFonts w:ascii="Garamond" w:hAnsi="Garamond" w:cs="Traditional Arabic" w:hint="eastAsia"/>
          <w:sz w:val="24"/>
          <w:szCs w:val="24"/>
          <w:rtl/>
        </w:rPr>
        <w:t>قَالَ</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فَأَوْصَى</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النَّاسُ</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بِالثُلُثِ</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فَجَازَ</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ذَلِكَ</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لَهُمْ</w:t>
      </w:r>
      <w:r w:rsidRPr="00F868B0">
        <w:rPr>
          <w:rFonts w:ascii="Garamond" w:hAnsi="Garamond" w:cs="Traditional Arabic"/>
          <w:sz w:val="24"/>
          <w:szCs w:val="24"/>
          <w:rtl/>
        </w:rPr>
        <w:t>. (</w:t>
      </w:r>
      <w:r w:rsidRPr="00F868B0">
        <w:rPr>
          <w:rFonts w:ascii="Garamond" w:hAnsi="Garamond" w:cs="Traditional Arabic" w:hint="eastAsia"/>
          <w:sz w:val="24"/>
          <w:szCs w:val="24"/>
          <w:rtl/>
        </w:rPr>
        <w:t>رواه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البخارى</w:t>
      </w:r>
      <w:r w:rsidRPr="00F868B0">
        <w:rPr>
          <w:rFonts w:ascii="Garamond" w:hAnsi="Garamond" w:cs="Traditional Arabic"/>
          <w:sz w:val="24"/>
          <w:szCs w:val="24"/>
          <w:rtl/>
        </w:rPr>
        <w:t>)</w:t>
      </w:r>
      <w:r w:rsidRPr="00F868B0">
        <w:rPr>
          <w:rStyle w:val="FootnoteReference"/>
          <w:rFonts w:ascii="Garamond" w:hAnsi="Garamond"/>
          <w:sz w:val="24"/>
          <w:szCs w:val="24"/>
          <w:rtl/>
        </w:rPr>
        <w:footnoteReference w:id="34"/>
      </w:r>
      <w:r w:rsidRPr="00F868B0">
        <w:rPr>
          <w:rFonts w:ascii="Garamond" w:hAnsi="Garamond" w:cs="Traditional Arabic"/>
          <w:sz w:val="24"/>
          <w:szCs w:val="24"/>
          <w:rtl/>
        </w:rPr>
        <w:t xml:space="preserve"> </w:t>
      </w:r>
    </w:p>
    <w:p w:rsidR="00CE008D" w:rsidRPr="00F868B0" w:rsidRDefault="00CE008D" w:rsidP="009F77BA">
      <w:pPr>
        <w:pStyle w:val="ListParagraph"/>
        <w:spacing w:after="0"/>
        <w:ind w:left="0"/>
        <w:jc w:val="both"/>
        <w:rPr>
          <w:rFonts w:ascii="Garamond" w:hAnsi="Garamond" w:cs="Times New Roman"/>
          <w:sz w:val="24"/>
          <w:szCs w:val="24"/>
        </w:rPr>
      </w:pPr>
      <w:r w:rsidRPr="00F868B0">
        <w:rPr>
          <w:rFonts w:ascii="Garamond" w:hAnsi="Garamond" w:cs="Times New Roman"/>
          <w:sz w:val="24"/>
          <w:szCs w:val="24"/>
        </w:rPr>
        <w:t>Artinya:</w:t>
      </w:r>
    </w:p>
    <w:p w:rsidR="00CE008D" w:rsidRPr="00F868B0" w:rsidRDefault="00CE008D" w:rsidP="009F77BA">
      <w:pPr>
        <w:spacing w:after="0"/>
        <w:ind w:left="709"/>
        <w:jc w:val="both"/>
        <w:rPr>
          <w:rFonts w:ascii="Garamond" w:hAnsi="Garamond" w:cs="Times New Roman"/>
          <w:i/>
          <w:iCs/>
          <w:sz w:val="24"/>
          <w:szCs w:val="24"/>
        </w:rPr>
      </w:pPr>
      <w:r w:rsidRPr="00F868B0">
        <w:rPr>
          <w:rFonts w:ascii="Garamond" w:hAnsi="Garamond" w:cs="Times New Roman"/>
          <w:sz w:val="24"/>
          <w:szCs w:val="24"/>
        </w:rPr>
        <w:t>“</w:t>
      </w:r>
      <w:r w:rsidRPr="00F868B0">
        <w:rPr>
          <w:rFonts w:ascii="Garamond" w:hAnsi="Garamond" w:cs="Times New Roman"/>
          <w:i/>
          <w:iCs/>
          <w:sz w:val="24"/>
          <w:szCs w:val="24"/>
        </w:rPr>
        <w:t>Telah bercerita kepadaku Muhammad ibn ‘Abd al-Ra</w:t>
      </w:r>
      <w:r w:rsidRPr="00F868B0">
        <w:rPr>
          <w:rFonts w:asciiTheme="majorBidi" w:hAnsiTheme="majorBidi" w:cs="Times New Roman"/>
          <w:i/>
          <w:iCs/>
          <w:sz w:val="24"/>
          <w:szCs w:val="24"/>
        </w:rPr>
        <w:t>ḥ</w:t>
      </w:r>
      <w:r w:rsidRPr="00F868B0">
        <w:rPr>
          <w:rFonts w:ascii="Garamond" w:hAnsi="Garamond" w:cs="Times New Roman"/>
          <w:i/>
          <w:iCs/>
          <w:sz w:val="24"/>
          <w:szCs w:val="24"/>
        </w:rPr>
        <w:t>īm, telah menceritakan kepada kami Zakariyyā’ ibn ‘Adiy, telah menceritakan kepada kami Marwān dari Hāsyim ibn Hāsyim dari ‘Āmr ibn Sa’ad dari ayahnya ra., ia berkata: Aku sakit, lalu Nabi SAW., menjengukku. Kemudian aku katakan: Ya Rasulullah, mohonkanlah kepada Allah agar Dia tidak mengembalikan aku kepada keadaan sebelumnya (negeri kafir). Beliau bersabda: Semoga Allah mengangkat derajatmu dengan memberikan manfaat kepada manusia melalui dirimu. Aku berkata: Aku ingin berwasiat, sedangkan aku memiliki seorang anak perempuan. Maka aku bertanya apakah aku boleh berwasiat dengan setengah hartaku? Beliau bersabda: Setengah itu banyak. Aku tanyakan lagi: Sepertiganya? Beliau bersabda: Ya, sepertiga. Sepertiga itu banyak atau besar. Dia (Sa’ad) berkata: Maka kemudian orang-orang berwasiat sepertiga dan beliau (Rasulullah SAW) membolehkannya.” (HR. Bukhārī)</w:t>
      </w:r>
    </w:p>
    <w:p w:rsidR="00CC4156" w:rsidRPr="00F868B0" w:rsidRDefault="00CC4156" w:rsidP="00F868B0">
      <w:pPr>
        <w:spacing w:after="0"/>
        <w:ind w:left="851"/>
        <w:jc w:val="both"/>
        <w:rPr>
          <w:rFonts w:ascii="Garamond" w:hAnsi="Garamond" w:cs="Times New Roman"/>
          <w:sz w:val="24"/>
          <w:szCs w:val="24"/>
        </w:rPr>
      </w:pPr>
    </w:p>
    <w:p w:rsidR="0007060E" w:rsidRPr="009F77BA" w:rsidRDefault="00CE008D"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Terkait fakta yang pertama disebutkan bahwa wasiat batal apabila penerima wasiat meninggal lebih dahulu dari pewasiat, dan itu mutlak adanya berdasarkan pendapat Jumhur Ulama. Namun, tidak ditemukan penjelasan yang rinci dalam kitab fikih mengenai apakah </w:t>
      </w:r>
      <w:r w:rsidRPr="00F868B0">
        <w:rPr>
          <w:rFonts w:ascii="Garamond" w:hAnsi="Garamond" w:cs="Times New Roman"/>
          <w:sz w:val="24"/>
          <w:szCs w:val="24"/>
        </w:rPr>
        <w:lastRenderedPageBreak/>
        <w:t xml:space="preserve">pembatalan tersebut berlaku untuk seluruh penerima wasiat, atau hanya batal bagi penerima wasiat yang telah terlebih dahulu meninggal dunia. Untuk hal ini, rasanya perlu meninjau kembali kepada kitab fikih yang memuat ketentuan tersebut, yaitu Kitab </w:t>
      </w:r>
      <w:r w:rsidRPr="00F868B0">
        <w:rPr>
          <w:rFonts w:ascii="Garamond" w:hAnsi="Garamond" w:cs="Times New Roman"/>
          <w:i/>
          <w:iCs/>
          <w:sz w:val="24"/>
          <w:szCs w:val="24"/>
        </w:rPr>
        <w:t>al-Fiqh al-Islāmī wa adillatuh</w:t>
      </w:r>
      <w:r w:rsidRPr="00F868B0">
        <w:rPr>
          <w:rFonts w:ascii="Garamond" w:hAnsi="Garamond" w:cs="Times New Roman"/>
          <w:sz w:val="24"/>
          <w:szCs w:val="24"/>
        </w:rPr>
        <w:t xml:space="preserve"> karangan Wahbah al-Zuhailī, Kitab </w:t>
      </w:r>
      <w:r w:rsidRPr="00F868B0">
        <w:rPr>
          <w:rFonts w:ascii="Garamond" w:hAnsi="Garamond" w:cs="Times New Roman"/>
          <w:i/>
          <w:iCs/>
          <w:sz w:val="24"/>
          <w:szCs w:val="24"/>
        </w:rPr>
        <w:t>al-Mughnī</w:t>
      </w:r>
      <w:r w:rsidRPr="00F868B0">
        <w:rPr>
          <w:rFonts w:ascii="Garamond" w:hAnsi="Garamond" w:cs="Times New Roman"/>
          <w:sz w:val="24"/>
          <w:szCs w:val="24"/>
        </w:rPr>
        <w:t xml:space="preserve"> karangan Ibn al-Qudāmah, dan Kitab </w:t>
      </w:r>
      <w:r w:rsidRPr="00F868B0">
        <w:rPr>
          <w:rFonts w:ascii="Garamond" w:hAnsi="Garamond" w:cs="Times New Roman"/>
          <w:i/>
          <w:iCs/>
          <w:sz w:val="24"/>
          <w:szCs w:val="24"/>
        </w:rPr>
        <w:t>Badā’i al-</w:t>
      </w:r>
      <w:r w:rsidRPr="00F868B0">
        <w:rPr>
          <w:rFonts w:asciiTheme="majorBidi" w:hAnsiTheme="majorBidi" w:cs="Times New Roman"/>
          <w:i/>
          <w:iCs/>
          <w:sz w:val="24"/>
          <w:szCs w:val="24"/>
        </w:rPr>
        <w:t>Ṣ</w:t>
      </w:r>
      <w:r w:rsidRPr="00F868B0">
        <w:rPr>
          <w:rFonts w:ascii="Garamond" w:hAnsi="Garamond" w:cs="Times New Roman"/>
          <w:i/>
          <w:iCs/>
          <w:sz w:val="24"/>
          <w:szCs w:val="24"/>
        </w:rPr>
        <w:t>anāi’ fī Tartīb al-Syarāi’</w:t>
      </w:r>
      <w:r w:rsidRPr="00F868B0">
        <w:rPr>
          <w:rFonts w:ascii="Garamond" w:hAnsi="Garamond" w:cs="Times New Roman"/>
          <w:sz w:val="24"/>
          <w:szCs w:val="24"/>
        </w:rPr>
        <w:t xml:space="preserve"> karangan al-Kasānī.</w:t>
      </w:r>
    </w:p>
    <w:p w:rsidR="0007060E" w:rsidRPr="009F77BA" w:rsidRDefault="00CE008D"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 xml:space="preserve">Wahbah al-Zuhailī dalam Kitab </w:t>
      </w:r>
      <w:r w:rsidRPr="00F868B0">
        <w:rPr>
          <w:rFonts w:ascii="Garamond" w:hAnsi="Garamond" w:cs="Times New Roman"/>
          <w:i/>
          <w:iCs/>
          <w:sz w:val="24"/>
          <w:szCs w:val="24"/>
        </w:rPr>
        <w:t>al-Fiqh al-Islāmī wa Adillatuh</w:t>
      </w:r>
      <w:r w:rsidRPr="00F868B0">
        <w:rPr>
          <w:rFonts w:ascii="Garamond" w:hAnsi="Garamond" w:cs="Times New Roman"/>
          <w:sz w:val="24"/>
          <w:szCs w:val="24"/>
        </w:rPr>
        <w:t xml:space="preserve"> mengemukakan salah satu alasan batalnya wasiat adalah</w:t>
      </w:r>
      <w:r w:rsidR="00121141" w:rsidRPr="00F868B0">
        <w:rPr>
          <w:rFonts w:ascii="Garamond" w:hAnsi="Garamond" w:cs="Times New Roman"/>
          <w:i/>
          <w:iCs/>
          <w:sz w:val="24"/>
          <w:szCs w:val="24"/>
        </w:rPr>
        <w:t xml:space="preserve"> </w:t>
      </w:r>
      <w:r w:rsidR="00121141" w:rsidRPr="00F868B0">
        <w:rPr>
          <w:rFonts w:ascii="Garamond" w:hAnsi="Garamond" w:cs="Times New Roman"/>
          <w:sz w:val="24"/>
          <w:szCs w:val="24"/>
        </w:rPr>
        <w:t>meninggalnya penerima waris sebelum meninggalnya pewasiat membatalkan wasiat berdasarkan kesepakatan mazhab yang empat (Syafi’i, Maliki, Hanafi, Hanbali).</w:t>
      </w:r>
      <w:r w:rsidR="00121141" w:rsidRPr="00F868B0">
        <w:rPr>
          <w:rStyle w:val="FootnoteReference"/>
          <w:rFonts w:ascii="Garamond" w:hAnsi="Garamond"/>
          <w:sz w:val="24"/>
          <w:szCs w:val="24"/>
          <w:rtl/>
        </w:rPr>
        <w:t xml:space="preserve"> </w:t>
      </w:r>
      <w:r w:rsidR="00121141" w:rsidRPr="00F868B0">
        <w:rPr>
          <w:rStyle w:val="FootnoteReference"/>
          <w:rFonts w:ascii="Garamond" w:hAnsi="Garamond"/>
          <w:sz w:val="24"/>
          <w:szCs w:val="24"/>
          <w:rtl/>
        </w:rPr>
        <w:footnoteReference w:id="35"/>
      </w:r>
      <w:r w:rsidR="00121141" w:rsidRPr="00F868B0">
        <w:rPr>
          <w:rStyle w:val="FootnoteReference"/>
          <w:rFonts w:ascii="Garamond" w:hAnsi="Garamond"/>
          <w:sz w:val="24"/>
          <w:szCs w:val="24"/>
        </w:rPr>
        <w:t xml:space="preserve"> </w:t>
      </w:r>
      <w:r w:rsidRPr="00F868B0">
        <w:rPr>
          <w:rFonts w:ascii="Garamond" w:hAnsi="Garamond" w:cs="Times New Roman"/>
          <w:sz w:val="24"/>
          <w:szCs w:val="24"/>
        </w:rPr>
        <w:t xml:space="preserve">Adapun dalam Kitab </w:t>
      </w:r>
      <w:r w:rsidRPr="00F868B0">
        <w:rPr>
          <w:rFonts w:ascii="Garamond" w:hAnsi="Garamond" w:cs="Times New Roman"/>
          <w:i/>
          <w:iCs/>
          <w:sz w:val="24"/>
          <w:szCs w:val="24"/>
        </w:rPr>
        <w:t>al-Mughnī</w:t>
      </w:r>
      <w:r w:rsidRPr="00F868B0">
        <w:rPr>
          <w:rFonts w:ascii="Garamond" w:hAnsi="Garamond" w:cs="Times New Roman"/>
          <w:sz w:val="24"/>
          <w:szCs w:val="24"/>
        </w:rPr>
        <w:t xml:space="preserve"> karangan Ibn al-Qudāmah disebutkan </w:t>
      </w:r>
      <w:r w:rsidR="00121141" w:rsidRPr="00F868B0">
        <w:rPr>
          <w:rFonts w:ascii="Garamond" w:hAnsi="Garamond" w:cs="Times New Roman"/>
          <w:sz w:val="24"/>
          <w:szCs w:val="24"/>
        </w:rPr>
        <w:t>bahwa apabila meninggal penerima wasiat sebelum meninggalnya pewasiat, maka batallah wasiat tersebut.</w:t>
      </w:r>
      <w:r w:rsidR="00121141" w:rsidRPr="00F868B0">
        <w:rPr>
          <w:rStyle w:val="FootnoteReference"/>
          <w:rFonts w:ascii="Garamond" w:hAnsi="Garamond"/>
          <w:sz w:val="24"/>
          <w:szCs w:val="24"/>
          <w:rtl/>
        </w:rPr>
        <w:footnoteReference w:id="36"/>
      </w:r>
      <w:r w:rsidR="00121141" w:rsidRPr="00F868B0">
        <w:rPr>
          <w:rFonts w:ascii="Garamond" w:hAnsi="Garamond" w:cs="Times New Roman"/>
          <w:sz w:val="24"/>
          <w:szCs w:val="24"/>
        </w:rPr>
        <w:t xml:space="preserve"> </w:t>
      </w:r>
      <w:r w:rsidRPr="00F868B0">
        <w:rPr>
          <w:rFonts w:ascii="Garamond" w:hAnsi="Garamond" w:cs="Times New Roman"/>
          <w:sz w:val="24"/>
          <w:szCs w:val="24"/>
        </w:rPr>
        <w:t xml:space="preserve">Redaksi serupa juga dipaparkan oleh al-Kasānī dalam kitabnya </w:t>
      </w:r>
      <w:r w:rsidRPr="00F868B0">
        <w:rPr>
          <w:rFonts w:ascii="Garamond" w:hAnsi="Garamond" w:cs="Times New Roman"/>
          <w:i/>
          <w:iCs/>
          <w:sz w:val="24"/>
          <w:szCs w:val="24"/>
        </w:rPr>
        <w:t>Badā’i al-</w:t>
      </w:r>
      <w:r w:rsidRPr="00F868B0">
        <w:rPr>
          <w:rFonts w:asciiTheme="majorBidi" w:hAnsiTheme="majorBidi" w:cs="Times New Roman"/>
          <w:i/>
          <w:iCs/>
          <w:sz w:val="24"/>
          <w:szCs w:val="24"/>
        </w:rPr>
        <w:t>Ṣ</w:t>
      </w:r>
      <w:r w:rsidRPr="00F868B0">
        <w:rPr>
          <w:rFonts w:ascii="Garamond" w:hAnsi="Garamond" w:cs="Times New Roman"/>
          <w:i/>
          <w:iCs/>
          <w:sz w:val="24"/>
          <w:szCs w:val="24"/>
        </w:rPr>
        <w:t>anāi’ fī Tartīb al-Syarāi’</w:t>
      </w:r>
      <w:r w:rsidRPr="00F868B0">
        <w:rPr>
          <w:rFonts w:ascii="Garamond" w:hAnsi="Garamond" w:cs="Times New Roman"/>
          <w:sz w:val="24"/>
          <w:szCs w:val="24"/>
        </w:rPr>
        <w:t xml:space="preserve">, </w:t>
      </w:r>
      <w:r w:rsidR="00121141" w:rsidRPr="00F868B0">
        <w:rPr>
          <w:rFonts w:ascii="Garamond" w:hAnsi="Garamond" w:cs="Times New Roman"/>
          <w:sz w:val="24"/>
          <w:szCs w:val="24"/>
        </w:rPr>
        <w:t>yaitu wasiat batal dengan meninggalnya penerima wasiat sebelum meninggalnya pewasiat, karena akad wasiat teruntuk bagi penerima wasiat (yang lebih dahulu meninggal dunia tersebut), bukan untuk selain darinya.</w:t>
      </w:r>
      <w:r w:rsidR="00121141" w:rsidRPr="00F868B0">
        <w:rPr>
          <w:rFonts w:ascii="Garamond" w:hAnsi="Garamond"/>
          <w:sz w:val="24"/>
          <w:szCs w:val="24"/>
          <w:vertAlign w:val="superscript"/>
          <w:rtl/>
        </w:rPr>
        <w:footnoteReference w:id="37"/>
      </w:r>
    </w:p>
    <w:p w:rsidR="0007060E" w:rsidRPr="00F868B0" w:rsidRDefault="00AC16EF"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Berdasarkan ketiga kitab tersebut penulis memahami bahwa wasiat batal hanya untuk penerima wasiat yang lebih dahulu meninggal dunia dari pewasiat. Hal ini dipahami dari kalimat “</w:t>
      </w:r>
      <w:r w:rsidRPr="00F868B0">
        <w:rPr>
          <w:rFonts w:ascii="Garamond" w:hAnsi="Garamond" w:cs="Traditional Arabic" w:hint="eastAsia"/>
          <w:sz w:val="24"/>
          <w:szCs w:val="24"/>
          <w:rtl/>
        </w:rPr>
        <w:t>لِأَنَّ</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العَقْد</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وَقَعَ</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لهُ</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لاَ</w:t>
      </w:r>
      <w:r w:rsidRPr="00F868B0">
        <w:rPr>
          <w:rFonts w:ascii="Garamond" w:hAnsi="Garamond" w:cs="Traditional Arabic"/>
          <w:sz w:val="24"/>
          <w:szCs w:val="24"/>
          <w:rtl/>
        </w:rPr>
        <w:t xml:space="preserve"> </w:t>
      </w:r>
      <w:r w:rsidRPr="00F868B0">
        <w:rPr>
          <w:rFonts w:ascii="Garamond" w:hAnsi="Garamond" w:cs="Traditional Arabic" w:hint="eastAsia"/>
          <w:sz w:val="24"/>
          <w:szCs w:val="24"/>
          <w:rtl/>
        </w:rPr>
        <w:t>لِغَيْرِهِ</w:t>
      </w:r>
      <w:r w:rsidRPr="00F868B0">
        <w:rPr>
          <w:rFonts w:ascii="Garamond" w:hAnsi="Garamond" w:cs="Times New Roman"/>
          <w:sz w:val="24"/>
          <w:szCs w:val="24"/>
        </w:rPr>
        <w:t xml:space="preserve">” dalam kitab </w:t>
      </w:r>
      <w:r w:rsidRPr="00F868B0">
        <w:rPr>
          <w:rFonts w:ascii="Garamond" w:hAnsi="Garamond" w:cs="Times New Roman"/>
          <w:i/>
          <w:iCs/>
          <w:sz w:val="24"/>
          <w:szCs w:val="24"/>
        </w:rPr>
        <w:t>Badā’i al-</w:t>
      </w:r>
      <w:r w:rsidRPr="00F868B0">
        <w:rPr>
          <w:rFonts w:asciiTheme="majorBidi" w:hAnsiTheme="majorBidi" w:cs="Times New Roman"/>
          <w:i/>
          <w:iCs/>
          <w:sz w:val="24"/>
          <w:szCs w:val="24"/>
        </w:rPr>
        <w:t>Ṣ</w:t>
      </w:r>
      <w:r w:rsidRPr="00F868B0">
        <w:rPr>
          <w:rFonts w:ascii="Garamond" w:hAnsi="Garamond" w:cs="Times New Roman"/>
          <w:i/>
          <w:iCs/>
          <w:sz w:val="24"/>
          <w:szCs w:val="24"/>
        </w:rPr>
        <w:t>anāi’</w:t>
      </w:r>
      <w:r w:rsidRPr="00F868B0">
        <w:rPr>
          <w:rFonts w:ascii="Garamond" w:hAnsi="Garamond" w:cs="Times New Roman"/>
          <w:sz w:val="24"/>
          <w:szCs w:val="24"/>
        </w:rPr>
        <w:t xml:space="preserve"> karangan al-Kasānī, yaitu “</w:t>
      </w:r>
      <w:r w:rsidRPr="00F868B0">
        <w:rPr>
          <w:rFonts w:ascii="Garamond" w:hAnsi="Garamond" w:cs="Times New Roman"/>
          <w:i/>
          <w:iCs/>
          <w:sz w:val="24"/>
          <w:szCs w:val="24"/>
        </w:rPr>
        <w:t>karena akad wasiat teruntuk bagi penerima wasiat (yang lebih dahulu meninggal dunia tersebut), bukan untuk selain darinya”</w:t>
      </w:r>
      <w:r w:rsidRPr="00F868B0">
        <w:rPr>
          <w:rFonts w:ascii="Garamond" w:hAnsi="Garamond" w:cs="Times New Roman"/>
          <w:sz w:val="24"/>
          <w:szCs w:val="24"/>
        </w:rPr>
        <w:t xml:space="preserve">. Artinya, akad wasiat yang batal adalah yang </w:t>
      </w:r>
      <w:r w:rsidRPr="00F868B0">
        <w:rPr>
          <w:rFonts w:ascii="Garamond" w:hAnsi="Garamond" w:cs="Times New Roman"/>
          <w:sz w:val="24"/>
          <w:szCs w:val="24"/>
        </w:rPr>
        <w:lastRenderedPageBreak/>
        <w:t>berkaitan dengan hak penerima wasiat yang telah meninggal lebih dahulu. Sedangkan bagi penerima wasiat lainnya yang masih tetap mendapatkan haknya sesuai dengan akad wasiat tersebut, karena telah diperuntukkan baginya.</w:t>
      </w:r>
    </w:p>
    <w:p w:rsidR="0007060E" w:rsidRPr="00F868B0" w:rsidRDefault="00AC16EF"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Berdasarkan hal tersebut di atas, maka dapat disimpulkan bahwa ketika beberapa orang berstatus sebagai penerima wasiat, namun kemudian salah satu atau beberapa orang dari penerima wasiat meninggal lebih dahulu dari pewasiat, maka bagi orang yang meninggal dunia tersebut hak wasiatnya batal. Adapun bagi penerima wasiat lainnya yang masih hidup, untuk mereka hak wasiat sesuai dengan apa yang telah termuat dalam Akta Wasiat.</w:t>
      </w:r>
    </w:p>
    <w:p w:rsidR="0007060E" w:rsidRPr="00F868B0" w:rsidRDefault="00AC16EF"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Selanjutnya, berkaitan dengan fakta kedua dan ketiga, dengan tanpa mengabaikan ketentuan pada fakta pertama, maka secara ketentuan hukum Islam wasiat bagi para penggugat telah batal dengan sendirinya. Meskipun dalam fakta hukumnya tergugat I dengan sukarela menerima putusan hakim Pengadilan Negeri Padang. Hal ini terbukti dengan tidak adanya bantahan terhadap putusan tersebut hingga berkekuatan hukum tetap.</w:t>
      </w:r>
    </w:p>
    <w:p w:rsidR="0007060E" w:rsidRPr="00F868B0" w:rsidRDefault="00AC16EF"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Berdasarkan apa yang telah diuraikan di atas, dapat ditarik benang merah dari penyelesaian perkara hibah wasiat Nomor: 69/Pdt.G/2009/PN.Pdg., dalam perspektif hukum Islam sebagai berikut:</w:t>
      </w:r>
    </w:p>
    <w:p w:rsidR="0007060E" w:rsidRPr="00F868B0" w:rsidRDefault="00AC16EF"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b/>
          <w:bCs/>
          <w:i/>
          <w:iCs/>
          <w:sz w:val="24"/>
          <w:szCs w:val="24"/>
        </w:rPr>
        <w:t>Pertama</w:t>
      </w:r>
      <w:r w:rsidRPr="00F868B0">
        <w:rPr>
          <w:rFonts w:ascii="Garamond" w:hAnsi="Garamond" w:cs="Times New Roman"/>
          <w:sz w:val="24"/>
          <w:szCs w:val="24"/>
        </w:rPr>
        <w:t xml:space="preserve">, </w:t>
      </w:r>
      <w:r w:rsidR="0054541E" w:rsidRPr="00F868B0">
        <w:rPr>
          <w:rFonts w:ascii="Garamond" w:hAnsi="Garamond" w:cs="Times New Roman"/>
          <w:sz w:val="24"/>
          <w:szCs w:val="24"/>
        </w:rPr>
        <w:t>pemberian wasiat kepada para penggugat adalah batal, karena mereka bukan penerima sah wasiat sebagaimana yang termaktub dalam Akta Wasiat Nomor XXX Tahun 2000. Mereka hanya berstatus sebagai ahli waris pengganti dari saudara-saudara kandung pewasiat yang telah lebih dahulu meninggal daripada pewasiat.</w:t>
      </w:r>
    </w:p>
    <w:p w:rsidR="0007060E" w:rsidRPr="00F868B0" w:rsidRDefault="0054541E"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Meskipun tergugat I sebagai ahli waris lainnya tidak membantah dalam artian menyetujui, namun hal tersebut dibatalkan oleh hal-hal berikut yang saling berkaitan dan tidak dapat te</w:t>
      </w:r>
      <w:r w:rsidR="00121141" w:rsidRPr="00F868B0">
        <w:rPr>
          <w:rFonts w:ascii="Garamond" w:hAnsi="Garamond" w:cs="Times New Roman"/>
          <w:sz w:val="24"/>
          <w:szCs w:val="24"/>
        </w:rPr>
        <w:t xml:space="preserve">rpisahkan </w:t>
      </w:r>
      <w:r w:rsidR="00121141" w:rsidRPr="00F868B0">
        <w:rPr>
          <w:rFonts w:ascii="Garamond" w:hAnsi="Garamond" w:cs="Times New Roman"/>
          <w:sz w:val="24"/>
          <w:szCs w:val="24"/>
        </w:rPr>
        <w:lastRenderedPageBreak/>
        <w:t>satu sama lain, yaitu w</w:t>
      </w:r>
      <w:r w:rsidRPr="00F868B0">
        <w:rPr>
          <w:rFonts w:ascii="Garamond" w:hAnsi="Garamond" w:cs="Times New Roman"/>
          <w:sz w:val="24"/>
          <w:szCs w:val="24"/>
        </w:rPr>
        <w:t>asiat bagi penerima wasiat yang telah meninggal dunia lebih dahulu dari pewasiat telah bata</w:t>
      </w:r>
      <w:r w:rsidR="00121141" w:rsidRPr="00F868B0">
        <w:rPr>
          <w:rFonts w:ascii="Garamond" w:hAnsi="Garamond" w:cs="Times New Roman"/>
          <w:sz w:val="24"/>
          <w:szCs w:val="24"/>
        </w:rPr>
        <w:t>l menurut pendapat Jumhur Ulama, dan w</w:t>
      </w:r>
      <w:r w:rsidRPr="00F868B0">
        <w:rPr>
          <w:rFonts w:ascii="Garamond" w:hAnsi="Garamond" w:cs="Times New Roman"/>
          <w:sz w:val="24"/>
          <w:szCs w:val="24"/>
        </w:rPr>
        <w:t>asiat bagi ahli waris tidak diperbolehkan dalam hukum Islam berdasarkan ketentuan Hadis Nabi SAW., dalam riwayat Ibn Mājah yang telah dikemukakan di atas.</w:t>
      </w:r>
    </w:p>
    <w:p w:rsidR="0007060E" w:rsidRPr="00F868B0" w:rsidRDefault="0054541E"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b/>
          <w:bCs/>
          <w:i/>
          <w:iCs/>
          <w:sz w:val="24"/>
          <w:szCs w:val="24"/>
        </w:rPr>
        <w:t>Kedua</w:t>
      </w:r>
      <w:r w:rsidRPr="00F868B0">
        <w:rPr>
          <w:rFonts w:ascii="Garamond" w:hAnsi="Garamond" w:cs="Times New Roman"/>
          <w:sz w:val="24"/>
          <w:szCs w:val="24"/>
        </w:rPr>
        <w:t xml:space="preserve">, pemberian </w:t>
      </w:r>
      <w:r w:rsidR="008F2C48" w:rsidRPr="00F868B0">
        <w:rPr>
          <w:rFonts w:ascii="Garamond" w:hAnsi="Garamond" w:cs="Times New Roman"/>
          <w:sz w:val="24"/>
          <w:szCs w:val="24"/>
        </w:rPr>
        <w:t>50</w:t>
      </w:r>
      <w:r w:rsidRPr="00F868B0">
        <w:rPr>
          <w:rFonts w:ascii="Garamond" w:hAnsi="Garamond" w:cs="Times New Roman"/>
          <w:sz w:val="24"/>
          <w:szCs w:val="24"/>
        </w:rPr>
        <w:t xml:space="preserve">% kepemilikan saham sebagai wasiat dan dua bidang tanah kepada tergugat I dalam perkara Nomor: 69/Pdt.G/2009/PN.Pdg., telah melanggar ketentuan hukum Islam. Meskipun terdapat pengecualian dalam keadaan seluruh ahli waris menyetujui, namun dalam perkara tersebut jelas telah terjadi perselisihan di antara para penggugat dan tergugat I yang merupakan ahli waris dari pewaris hingga perkara ini diajukan ke pengadilan. Selain itu, yang terpenting adalah </w:t>
      </w:r>
      <w:r w:rsidRPr="00F868B0">
        <w:rPr>
          <w:rFonts w:ascii="Garamond" w:hAnsi="Garamond" w:cs="Times New Roman"/>
          <w:b/>
          <w:bCs/>
          <w:sz w:val="24"/>
          <w:szCs w:val="24"/>
        </w:rPr>
        <w:t>wasiat untuk ahli waris adalah tidak sah</w:t>
      </w:r>
      <w:r w:rsidRPr="00F868B0">
        <w:rPr>
          <w:rFonts w:ascii="Garamond" w:hAnsi="Garamond" w:cs="Times New Roman"/>
          <w:sz w:val="24"/>
          <w:szCs w:val="24"/>
        </w:rPr>
        <w:t>, sehingga dengan demikian batallah hak serta kadar wasiat yang diperuntukkan untuk tergugat I yang merupakan isteri (ahli waris) dari pewaris/pewasiat.</w:t>
      </w:r>
    </w:p>
    <w:p w:rsidR="00AC16EF" w:rsidRPr="00F868B0" w:rsidRDefault="00A808DC" w:rsidP="009F77BA">
      <w:pPr>
        <w:pStyle w:val="ListParagraph"/>
        <w:spacing w:after="0"/>
        <w:ind w:left="0" w:firstLine="709"/>
        <w:jc w:val="both"/>
        <w:rPr>
          <w:rFonts w:ascii="Garamond" w:hAnsi="Garamond" w:cs="Times New Roman"/>
          <w:sz w:val="24"/>
          <w:szCs w:val="24"/>
        </w:rPr>
      </w:pPr>
      <w:r w:rsidRPr="00F868B0">
        <w:rPr>
          <w:rFonts w:ascii="Garamond" w:hAnsi="Garamond" w:cs="Times New Roman"/>
          <w:sz w:val="24"/>
          <w:szCs w:val="24"/>
        </w:rPr>
        <w:t>Berdasarkan hal tersebut di atas terlihat jelas bahwa penyelesaian hibah wasiat dalam perkara Nomor: 69/Pdt.G/2009/PN.Pdg., bertentangan dengan ketentuan hukum Islam yang seharusnya dipraktekkan oleh orang-orang beragama Islam. Perkara tersebut memang berakhir tanpa adanya upaya hukum yang menandakan semuanya menerima putusan hakim Pengadilan Negeri Padang Kelas I.A dalam perkara tersebut. Namun, perkara peralihan harta dari orang yang telah meninggal dunia kepada orang yang masih hidup dalam Islam merupakan sebuah pertanggungjawaban secara vertikal antara manusia dengan Allah SWT., dan secara horizontal antara sesama manusia.</w:t>
      </w:r>
    </w:p>
    <w:p w:rsidR="00121141" w:rsidRPr="00F868B0" w:rsidRDefault="00121141" w:rsidP="00F868B0">
      <w:pPr>
        <w:spacing w:after="0"/>
        <w:ind w:left="567" w:firstLine="709"/>
        <w:jc w:val="both"/>
        <w:rPr>
          <w:rFonts w:ascii="Garamond" w:hAnsi="Garamond" w:cs="Times New Roman"/>
          <w:sz w:val="24"/>
          <w:szCs w:val="24"/>
        </w:rPr>
      </w:pPr>
    </w:p>
    <w:p w:rsidR="0007060E" w:rsidRPr="009F77BA" w:rsidRDefault="00AB0833" w:rsidP="009F77BA">
      <w:pPr>
        <w:spacing w:after="0"/>
        <w:jc w:val="both"/>
        <w:rPr>
          <w:rFonts w:ascii="Garamond" w:hAnsi="Garamond" w:cs="Times New Roman"/>
          <w:b/>
          <w:sz w:val="24"/>
          <w:szCs w:val="24"/>
        </w:rPr>
      </w:pPr>
      <w:r>
        <w:rPr>
          <w:rFonts w:ascii="Garamond" w:hAnsi="Garamond" w:cs="Times New Roman"/>
          <w:b/>
          <w:sz w:val="24"/>
          <w:szCs w:val="24"/>
        </w:rPr>
        <w:t>KESIMPULAN</w:t>
      </w:r>
    </w:p>
    <w:p w:rsidR="0007060E" w:rsidRPr="00AB0833" w:rsidRDefault="002678DA" w:rsidP="00AB0833">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lastRenderedPageBreak/>
        <w:t xml:space="preserve">Berdasarkan uraian-uraian di atas </w:t>
      </w:r>
      <w:r w:rsidRPr="00AB0833">
        <w:rPr>
          <w:rFonts w:ascii="Garamond" w:hAnsi="Garamond" w:cs="Times New Roman"/>
          <w:sz w:val="24"/>
          <w:szCs w:val="24"/>
        </w:rPr>
        <w:t>berkenaan</w:t>
      </w:r>
      <w:r w:rsidRPr="00F868B0">
        <w:rPr>
          <w:rFonts w:ascii="Garamond" w:hAnsi="Garamond" w:cs="Times New Roman"/>
          <w:bCs/>
          <w:sz w:val="24"/>
          <w:szCs w:val="24"/>
        </w:rPr>
        <w:t xml:space="preserve"> dengan penelitian ini, maka dapat diambil beberapa kesimpulan</w:t>
      </w:r>
      <w:r w:rsidR="003E65D9" w:rsidRPr="00F868B0">
        <w:rPr>
          <w:rFonts w:ascii="Garamond" w:hAnsi="Garamond" w:cs="Times New Roman"/>
          <w:bCs/>
          <w:sz w:val="24"/>
          <w:szCs w:val="24"/>
        </w:rPr>
        <w:t>, yaitu:</w:t>
      </w:r>
    </w:p>
    <w:p w:rsidR="003E65D9" w:rsidRPr="00F868B0" w:rsidRDefault="003E65D9" w:rsidP="00AB0833">
      <w:pPr>
        <w:pStyle w:val="ListParagraph"/>
        <w:spacing w:after="0"/>
        <w:ind w:left="0" w:firstLine="709"/>
        <w:jc w:val="both"/>
        <w:rPr>
          <w:rFonts w:ascii="Garamond" w:hAnsi="Garamond" w:cs="Times New Roman"/>
          <w:bCs/>
          <w:sz w:val="24"/>
          <w:szCs w:val="24"/>
        </w:rPr>
      </w:pPr>
      <w:r w:rsidRPr="00F868B0">
        <w:rPr>
          <w:rFonts w:ascii="Garamond" w:hAnsi="Garamond" w:cs="Times New Roman"/>
          <w:b/>
          <w:i/>
          <w:iCs/>
          <w:sz w:val="24"/>
          <w:szCs w:val="24"/>
        </w:rPr>
        <w:t>Pertama</w:t>
      </w:r>
      <w:r w:rsidRPr="00F868B0">
        <w:rPr>
          <w:rFonts w:ascii="Garamond" w:hAnsi="Garamond" w:cs="Times New Roman"/>
          <w:b/>
          <w:sz w:val="24"/>
          <w:szCs w:val="24"/>
        </w:rPr>
        <w:t>,</w:t>
      </w:r>
      <w:r w:rsidRPr="00F868B0">
        <w:rPr>
          <w:rFonts w:ascii="Garamond" w:hAnsi="Garamond" w:cs="Times New Roman"/>
          <w:bCs/>
          <w:sz w:val="24"/>
          <w:szCs w:val="24"/>
        </w:rPr>
        <w:t xml:space="preserve"> a</w:t>
      </w:r>
      <w:r w:rsidR="002678DA" w:rsidRPr="00F868B0">
        <w:rPr>
          <w:rFonts w:ascii="Garamond" w:hAnsi="Garamond" w:cs="Times New Roman"/>
          <w:bCs/>
          <w:sz w:val="24"/>
          <w:szCs w:val="24"/>
        </w:rPr>
        <w:t xml:space="preserve">rgumentasi </w:t>
      </w:r>
      <w:r w:rsidRPr="00F868B0">
        <w:rPr>
          <w:rFonts w:ascii="Garamond" w:hAnsi="Garamond" w:cs="Times New Roman"/>
          <w:bCs/>
          <w:sz w:val="24"/>
          <w:szCs w:val="24"/>
        </w:rPr>
        <w:t xml:space="preserve">majelis </w:t>
      </w:r>
      <w:r w:rsidR="002678DA" w:rsidRPr="00F868B0">
        <w:rPr>
          <w:rFonts w:ascii="Garamond" w:hAnsi="Garamond" w:cs="Times New Roman"/>
          <w:bCs/>
          <w:sz w:val="24"/>
          <w:szCs w:val="24"/>
        </w:rPr>
        <w:t xml:space="preserve">hakim Pengadilan Negeri Padang </w:t>
      </w:r>
      <w:r w:rsidRPr="00F868B0">
        <w:rPr>
          <w:rFonts w:ascii="Garamond" w:hAnsi="Garamond" w:cs="Times New Roman"/>
          <w:bCs/>
          <w:sz w:val="24"/>
          <w:szCs w:val="24"/>
        </w:rPr>
        <w:t xml:space="preserve">yang memeriksa dan memutuskan </w:t>
      </w:r>
      <w:r w:rsidR="002678DA" w:rsidRPr="00F868B0">
        <w:rPr>
          <w:rFonts w:ascii="Garamond" w:hAnsi="Garamond" w:cs="Times New Roman"/>
          <w:bCs/>
          <w:sz w:val="24"/>
          <w:szCs w:val="24"/>
        </w:rPr>
        <w:t>perkara hibah wasiat Nomor: 69/Pdt.G/2009/PN.Pdg.,</w:t>
      </w:r>
      <w:r w:rsidRPr="00F868B0">
        <w:rPr>
          <w:rFonts w:ascii="Garamond" w:hAnsi="Garamond" w:cs="Times New Roman"/>
          <w:bCs/>
          <w:sz w:val="24"/>
          <w:szCs w:val="24"/>
        </w:rPr>
        <w:t xml:space="preserve"> terkait kewenangan absolut pengadilan, hakim meyakini bahwa putusan tersebut sudah benar adanya berdasarkan tekstual pasal 49 UU Nomor 3 Tahun 2006 tentang Peradilan Agama yang sama sekali tidak mencantumkan “hibah wasiat” sebagai kewenangan dari Peradilan Agama. Sebaliknya, konsep hibah wasiat terpapar jelas di dalam KUH Perdata yang merupakan salah satu sumber hukum bagi Peradilan Umum.</w:t>
      </w:r>
    </w:p>
    <w:p w:rsidR="0007060E" w:rsidRPr="00F868B0" w:rsidRDefault="0007060E" w:rsidP="00F868B0">
      <w:pPr>
        <w:pStyle w:val="ListParagraph"/>
        <w:tabs>
          <w:tab w:val="left" w:pos="993"/>
        </w:tabs>
        <w:spacing w:after="0"/>
        <w:ind w:left="284" w:firstLine="709"/>
        <w:jc w:val="both"/>
        <w:rPr>
          <w:rFonts w:ascii="Garamond" w:hAnsi="Garamond" w:cs="Times New Roman"/>
          <w:bCs/>
          <w:sz w:val="24"/>
          <w:szCs w:val="24"/>
        </w:rPr>
      </w:pPr>
    </w:p>
    <w:p w:rsidR="000D055D" w:rsidRPr="00AB0833" w:rsidRDefault="003E65D9" w:rsidP="00AB0833">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 xml:space="preserve">Kemudian sebagai perbandingannya, hakim Pengadilan Agama menyebutkan bahwa hibah </w:t>
      </w:r>
      <w:r w:rsidRPr="00AB0833">
        <w:rPr>
          <w:rFonts w:ascii="Garamond" w:hAnsi="Garamond" w:cs="Times New Roman"/>
          <w:sz w:val="24"/>
          <w:szCs w:val="24"/>
        </w:rPr>
        <w:t>wasiat</w:t>
      </w:r>
      <w:r w:rsidRPr="00F868B0">
        <w:rPr>
          <w:rFonts w:ascii="Garamond" w:hAnsi="Garamond" w:cs="Times New Roman"/>
          <w:bCs/>
          <w:sz w:val="24"/>
          <w:szCs w:val="24"/>
        </w:rPr>
        <w:t xml:space="preserve"> adalah wasiat itu sendiri, terlebih pihak yang berperkara merupakan orang-orang beragama Islam. Sehingga perkara tersebut seharusnya merupakan kewenangan Peradilan Agama, bukan Peradilan Umum.</w:t>
      </w:r>
    </w:p>
    <w:p w:rsidR="000D055D" w:rsidRPr="00AB0833" w:rsidRDefault="003E65D9" w:rsidP="00AB0833">
      <w:pPr>
        <w:pStyle w:val="ListParagraph"/>
        <w:spacing w:after="0"/>
        <w:ind w:left="0" w:firstLine="709"/>
        <w:jc w:val="both"/>
        <w:rPr>
          <w:rFonts w:ascii="Garamond" w:hAnsi="Garamond" w:cs="Times New Roman"/>
          <w:bCs/>
          <w:sz w:val="24"/>
          <w:szCs w:val="24"/>
        </w:rPr>
      </w:pPr>
      <w:r w:rsidRPr="00F868B0">
        <w:rPr>
          <w:rFonts w:ascii="Garamond" w:hAnsi="Garamond" w:cs="Times New Roman"/>
          <w:bCs/>
          <w:sz w:val="24"/>
          <w:szCs w:val="24"/>
        </w:rPr>
        <w:t xml:space="preserve">Adapun berkenaan dengan pelaksanaan </w:t>
      </w:r>
      <w:r w:rsidRPr="00AB0833">
        <w:rPr>
          <w:rFonts w:ascii="Garamond" w:hAnsi="Garamond" w:cs="Times New Roman"/>
          <w:sz w:val="24"/>
          <w:szCs w:val="24"/>
        </w:rPr>
        <w:t>perkara</w:t>
      </w:r>
      <w:r w:rsidRPr="00F868B0">
        <w:rPr>
          <w:rFonts w:ascii="Garamond" w:hAnsi="Garamond" w:cs="Times New Roman"/>
          <w:bCs/>
          <w:sz w:val="24"/>
          <w:szCs w:val="24"/>
        </w:rPr>
        <w:t xml:space="preserve"> hibah wasiat Nomor: 69/Pdt.G/2009/PN.Pdg., majelis hakim terkait juga meyakini bahwa putusan tersebut sudah tepat adanya. Poin pentingnya adalah pada saat Akta Wasiat dibuat, para penerima wasiat tersebut sudah ada, meskipun pada saat pelaksanaannya penerima wasiat ternyata lebih dahulu meninggal dunia dari </w:t>
      </w:r>
      <w:r w:rsidRPr="00F868B0">
        <w:rPr>
          <w:rFonts w:ascii="Garamond" w:hAnsi="Garamond" w:cs="Times New Roman"/>
          <w:bCs/>
          <w:sz w:val="24"/>
          <w:szCs w:val="24"/>
        </w:rPr>
        <w:lastRenderedPageBreak/>
        <w:t>pewasiat. Selain itu, hibah wasiat memang harus ditunaikan apa adanya sesuai dengan yang telah dituliskan dalam akta wasiat.</w:t>
      </w:r>
    </w:p>
    <w:p w:rsidR="000D055D" w:rsidRPr="00AB0833" w:rsidRDefault="003E65D9" w:rsidP="00AB0833">
      <w:pPr>
        <w:pStyle w:val="ListParagraph"/>
        <w:spacing w:after="0"/>
        <w:ind w:left="0" w:firstLine="709"/>
        <w:jc w:val="both"/>
        <w:rPr>
          <w:rFonts w:ascii="Garamond" w:hAnsi="Garamond" w:cs="Times New Roman"/>
          <w:bCs/>
          <w:sz w:val="24"/>
          <w:szCs w:val="24"/>
        </w:rPr>
      </w:pPr>
      <w:r w:rsidRPr="00F868B0">
        <w:rPr>
          <w:rFonts w:ascii="Garamond" w:hAnsi="Garamond" w:cs="Times New Roman"/>
          <w:b/>
          <w:i/>
          <w:iCs/>
          <w:sz w:val="24"/>
          <w:szCs w:val="24"/>
        </w:rPr>
        <w:t>Kedua</w:t>
      </w:r>
      <w:r w:rsidRPr="00F868B0">
        <w:rPr>
          <w:rFonts w:ascii="Garamond" w:hAnsi="Garamond" w:cs="Times New Roman"/>
          <w:b/>
          <w:sz w:val="24"/>
          <w:szCs w:val="24"/>
        </w:rPr>
        <w:t>,</w:t>
      </w:r>
      <w:r w:rsidRPr="00F868B0">
        <w:rPr>
          <w:rFonts w:ascii="Garamond" w:hAnsi="Garamond" w:cs="Times New Roman"/>
          <w:bCs/>
          <w:sz w:val="24"/>
          <w:szCs w:val="24"/>
        </w:rPr>
        <w:t xml:space="preserve"> </w:t>
      </w:r>
      <w:r w:rsidR="008F2C48" w:rsidRPr="00F868B0">
        <w:rPr>
          <w:rFonts w:ascii="Garamond" w:hAnsi="Garamond" w:cs="Times New Roman"/>
          <w:bCs/>
          <w:sz w:val="24"/>
          <w:szCs w:val="24"/>
        </w:rPr>
        <w:t xml:space="preserve">penyelesaian perkara hibah wasiat Nomor: 69/Pdt.G/2009/PN.Pdg., dalam </w:t>
      </w:r>
      <w:r w:rsidR="008F2C48" w:rsidRPr="00AB0833">
        <w:rPr>
          <w:rFonts w:ascii="Garamond" w:hAnsi="Garamond" w:cs="Times New Roman"/>
          <w:sz w:val="24"/>
          <w:szCs w:val="24"/>
        </w:rPr>
        <w:t>pandangan</w:t>
      </w:r>
      <w:r w:rsidR="008F2C48" w:rsidRPr="00F868B0">
        <w:rPr>
          <w:rFonts w:ascii="Garamond" w:hAnsi="Garamond" w:cs="Times New Roman"/>
          <w:bCs/>
          <w:sz w:val="24"/>
          <w:szCs w:val="24"/>
        </w:rPr>
        <w:t xml:space="preserve"> hukum Islam dapat dilihat dari dua aspek, yaitu aspek pemberian wasiat kepada ahli waris dari penerima wasiat sah, dan </w:t>
      </w:r>
      <w:r w:rsidR="008F2C48" w:rsidRPr="00F868B0">
        <w:rPr>
          <w:rFonts w:ascii="Garamond" w:hAnsi="Garamond" w:cs="Times New Roman"/>
          <w:sz w:val="24"/>
          <w:szCs w:val="24"/>
        </w:rPr>
        <w:t>pemberian 50% kepemilikan saham sebagai wasiat dan dua bidang tanah kepada tergugat I</w:t>
      </w:r>
      <w:r w:rsidR="008F2C48" w:rsidRPr="00F868B0">
        <w:rPr>
          <w:rFonts w:ascii="Garamond" w:hAnsi="Garamond" w:cs="Times New Roman"/>
          <w:bCs/>
          <w:sz w:val="24"/>
          <w:szCs w:val="24"/>
        </w:rPr>
        <w:t xml:space="preserve"> dari harta peninggalan pewasiat.</w:t>
      </w:r>
    </w:p>
    <w:p w:rsidR="000D055D" w:rsidRPr="00AB0833" w:rsidRDefault="008F2C48" w:rsidP="00AB0833">
      <w:pPr>
        <w:pStyle w:val="ListParagraph"/>
        <w:spacing w:after="0"/>
        <w:ind w:left="0" w:firstLine="709"/>
        <w:jc w:val="both"/>
        <w:rPr>
          <w:rFonts w:ascii="Garamond" w:hAnsi="Garamond" w:cs="Times New Roman"/>
          <w:sz w:val="24"/>
          <w:szCs w:val="24"/>
        </w:rPr>
      </w:pPr>
      <w:r w:rsidRPr="00AB0833">
        <w:rPr>
          <w:rFonts w:ascii="Garamond" w:hAnsi="Garamond" w:cs="Times New Roman"/>
          <w:sz w:val="24"/>
          <w:szCs w:val="24"/>
        </w:rPr>
        <w:t>Untuk</w:t>
      </w:r>
      <w:r w:rsidRPr="00F868B0">
        <w:rPr>
          <w:rFonts w:ascii="Garamond" w:hAnsi="Garamond" w:cs="Times New Roman"/>
          <w:bCs/>
          <w:sz w:val="24"/>
          <w:szCs w:val="24"/>
        </w:rPr>
        <w:t xml:space="preserve"> aspek pemberian wasiat kepada ahli waris dari penerima wasiat sah, hal ini batal menurut ketentuan hukum Islam. Alasannya adalah karena </w:t>
      </w:r>
      <w:r w:rsidRPr="00F868B0">
        <w:rPr>
          <w:rFonts w:ascii="Garamond" w:hAnsi="Garamond" w:cs="Times New Roman"/>
          <w:sz w:val="24"/>
          <w:szCs w:val="24"/>
        </w:rPr>
        <w:t>karena orang tua para penggugat sebagai penerima wasiat yang sah telah meninggal dunia lebih dahulu dari pewasiat, dan yang terpenting adalah wasiat kepada ahli waris adalah batal. Telah jelas dalam hal ini para penggugat berkedudukan sebagai ahli waris.</w:t>
      </w:r>
    </w:p>
    <w:p w:rsidR="008F2C48" w:rsidRPr="0007060E" w:rsidRDefault="008F2C48" w:rsidP="00AB0833">
      <w:pPr>
        <w:pStyle w:val="ListParagraph"/>
        <w:spacing w:after="0"/>
        <w:ind w:left="0" w:firstLine="709"/>
        <w:jc w:val="both"/>
        <w:rPr>
          <w:rFonts w:asciiTheme="majorBidi" w:hAnsiTheme="majorBidi" w:cs="Times New Roman"/>
        </w:rPr>
      </w:pPr>
      <w:r w:rsidRPr="00F868B0">
        <w:rPr>
          <w:rFonts w:ascii="Garamond" w:hAnsi="Garamond" w:cs="Times New Roman"/>
          <w:sz w:val="24"/>
          <w:szCs w:val="24"/>
        </w:rPr>
        <w:t xml:space="preserve">Adapun aspek </w:t>
      </w:r>
      <w:r w:rsidRPr="00F868B0">
        <w:rPr>
          <w:rFonts w:ascii="Garamond" w:hAnsi="Garamond" w:cs="Times New Roman"/>
          <w:bCs/>
          <w:sz w:val="24"/>
          <w:szCs w:val="24"/>
        </w:rPr>
        <w:t xml:space="preserve">pemberian wasiat lebih dari 1/3 dari harta peninggalan pewasiat, yaitu 50% </w:t>
      </w:r>
      <w:r w:rsidRPr="00F868B0">
        <w:rPr>
          <w:rFonts w:ascii="Garamond" w:hAnsi="Garamond" w:cs="Times New Roman"/>
          <w:sz w:val="24"/>
          <w:szCs w:val="24"/>
        </w:rPr>
        <w:t>kepemilikan saham sebagai wasiat dan beberapa bidang tanah kepada tergugat I adalah tidak sah. Alasannya adalah karena melebihi 1/3 harta pewasiat, dan pada kenyataannya telah terjadi sengketa di antara ahli waris (para penggugat dan tergugat I). Kemudian, yang terpenting adalah wasiat kepada ahli waris (tergugat I/isteri pewasiat/pewaris) tidak diperbolehkan menurut ketentuan hukum Islam.</w:t>
      </w:r>
    </w:p>
    <w:p w:rsidR="00FE4A23" w:rsidRDefault="00FE4A23" w:rsidP="00FE4A23">
      <w:pPr>
        <w:pStyle w:val="ListParagraph"/>
        <w:tabs>
          <w:tab w:val="left" w:pos="993"/>
        </w:tabs>
        <w:spacing w:after="0" w:line="240" w:lineRule="auto"/>
        <w:ind w:left="284" w:firstLine="709"/>
        <w:jc w:val="both"/>
        <w:rPr>
          <w:rFonts w:asciiTheme="majorBidi" w:hAnsiTheme="majorBidi" w:cs="Times New Roman"/>
          <w:sz w:val="24"/>
          <w:szCs w:val="24"/>
        </w:rPr>
        <w:sectPr w:rsidR="00FE4A23" w:rsidSect="008E416B">
          <w:type w:val="continuous"/>
          <w:pgSz w:w="12240" w:h="15840"/>
          <w:pgMar w:top="1440" w:right="1080" w:bottom="1440" w:left="1080" w:header="720" w:footer="720" w:gutter="0"/>
          <w:cols w:num="2" w:space="578"/>
          <w:titlePg/>
          <w:docGrid w:linePitch="360"/>
        </w:sectPr>
      </w:pPr>
    </w:p>
    <w:p w:rsidR="000D055D" w:rsidRPr="00AB0833" w:rsidRDefault="000D055D" w:rsidP="00AB0833">
      <w:pPr>
        <w:tabs>
          <w:tab w:val="left" w:pos="993"/>
        </w:tabs>
        <w:spacing w:after="0" w:line="240" w:lineRule="auto"/>
        <w:jc w:val="both"/>
        <w:rPr>
          <w:rFonts w:ascii="Garamond" w:hAnsi="Garamond" w:cs="Times New Roman"/>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AB0833" w:rsidRDefault="00AB0833" w:rsidP="00FE4A23">
      <w:pPr>
        <w:spacing w:after="0" w:line="240" w:lineRule="auto"/>
        <w:jc w:val="center"/>
        <w:rPr>
          <w:rFonts w:ascii="Garamond" w:hAnsi="Garamond" w:cs="Times New Roman"/>
          <w:b/>
          <w:sz w:val="24"/>
          <w:szCs w:val="24"/>
        </w:rPr>
      </w:pPr>
    </w:p>
    <w:p w:rsidR="00903AF4" w:rsidRPr="00FE4A23" w:rsidRDefault="00B02A3F" w:rsidP="00FE4A23">
      <w:pPr>
        <w:spacing w:after="0" w:line="240" w:lineRule="auto"/>
        <w:jc w:val="center"/>
        <w:rPr>
          <w:rFonts w:ascii="Garamond" w:hAnsi="Garamond" w:cs="Times New Roman"/>
          <w:b/>
          <w:sz w:val="24"/>
          <w:szCs w:val="24"/>
        </w:rPr>
      </w:pPr>
      <w:r w:rsidRPr="00FE4A23">
        <w:rPr>
          <w:rFonts w:ascii="Garamond" w:hAnsi="Garamond" w:cs="Times New Roman"/>
          <w:b/>
          <w:sz w:val="24"/>
          <w:szCs w:val="24"/>
        </w:rPr>
        <w:t>DAFTAR PUSTAKA</w:t>
      </w:r>
    </w:p>
    <w:p w:rsidR="000D055D" w:rsidRPr="00FE4A23" w:rsidRDefault="000D055D" w:rsidP="00FE4A23">
      <w:pPr>
        <w:spacing w:after="0" w:line="240" w:lineRule="auto"/>
        <w:jc w:val="center"/>
        <w:rPr>
          <w:rFonts w:ascii="Garamond" w:hAnsi="Garamond" w:cs="Times New Roman"/>
          <w:b/>
          <w:sz w:val="24"/>
          <w:szCs w:val="24"/>
        </w:rPr>
      </w:pP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al-Bāqī, Muhammad Fuād ‘Abd.</w:t>
      </w:r>
      <w:r w:rsidRPr="00FE4A23">
        <w:rPr>
          <w:rFonts w:ascii="Garamond" w:hAnsi="Garamond" w:cs="Times New Roman"/>
          <w:i/>
          <w:iCs/>
          <w:sz w:val="24"/>
          <w:szCs w:val="24"/>
        </w:rPr>
        <w:t xml:space="preserve"> Mu’jam al-Mufahras li al-alfā</w:t>
      </w:r>
      <w:r w:rsidRPr="00FE4A23">
        <w:rPr>
          <w:rFonts w:asciiTheme="majorBidi" w:hAnsiTheme="majorBidi" w:cs="Times New Roman"/>
          <w:i/>
          <w:iCs/>
          <w:sz w:val="24"/>
          <w:szCs w:val="24"/>
        </w:rPr>
        <w:t>ẓ</w:t>
      </w:r>
      <w:r w:rsidRPr="00FE4A23">
        <w:rPr>
          <w:rFonts w:ascii="Garamond" w:hAnsi="Garamond" w:cs="Times New Roman"/>
          <w:i/>
          <w:iCs/>
          <w:sz w:val="24"/>
          <w:szCs w:val="24"/>
        </w:rPr>
        <w:t xml:space="preserve"> al-Qur’ān al-Karīm</w:t>
      </w:r>
      <w:r w:rsidRPr="00FE4A23">
        <w:rPr>
          <w:rFonts w:ascii="Garamond" w:hAnsi="Garamond" w:cs="Times New Roman"/>
          <w:sz w:val="24"/>
          <w:szCs w:val="24"/>
        </w:rPr>
        <w:t>. Mesir: Ma</w:t>
      </w:r>
      <w:r w:rsidRPr="00FE4A23">
        <w:rPr>
          <w:rFonts w:asciiTheme="majorBidi" w:hAnsiTheme="majorBidi" w:cs="Times New Roman"/>
          <w:sz w:val="24"/>
          <w:szCs w:val="24"/>
        </w:rPr>
        <w:t>ṭ</w:t>
      </w:r>
      <w:r w:rsidRPr="00FE4A23">
        <w:rPr>
          <w:rFonts w:ascii="Garamond" w:hAnsi="Garamond" w:cs="Times New Roman"/>
          <w:sz w:val="24"/>
          <w:szCs w:val="24"/>
        </w:rPr>
        <w:t>ba’ah Dār al-Kutub al-Mi</w:t>
      </w:r>
      <w:r w:rsidRPr="00FE4A23">
        <w:rPr>
          <w:rFonts w:asciiTheme="majorBidi" w:hAnsiTheme="majorBidi" w:cs="Times New Roman"/>
          <w:sz w:val="24"/>
          <w:szCs w:val="24"/>
        </w:rPr>
        <w:t>ṣ</w:t>
      </w:r>
      <w:r w:rsidRPr="00FE4A23">
        <w:rPr>
          <w:rFonts w:ascii="Garamond" w:hAnsi="Garamond" w:cs="Times New Roman"/>
          <w:sz w:val="24"/>
          <w:szCs w:val="24"/>
        </w:rPr>
        <w:t>riyyah</w:t>
      </w:r>
      <w:r w:rsidR="00706192">
        <w:rPr>
          <w:rFonts w:ascii="Garamond" w:hAnsi="Garamond" w:cs="Times New Roman"/>
          <w:sz w:val="24"/>
          <w:szCs w:val="24"/>
        </w:rPr>
        <w:t>. 1364 H</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al-Bukhārī, Abū Abdullah Muhammad ibn Ismā’ī</w:t>
      </w:r>
      <w:r w:rsidR="00706192">
        <w:rPr>
          <w:rFonts w:ascii="Garamond" w:hAnsi="Garamond" w:cs="Times New Roman"/>
          <w:sz w:val="24"/>
          <w:szCs w:val="24"/>
        </w:rPr>
        <w:t>l</w:t>
      </w:r>
      <w:r w:rsidRPr="00FE4A23">
        <w:rPr>
          <w:rFonts w:ascii="Garamond" w:hAnsi="Garamond" w:cs="Times New Roman"/>
          <w:sz w:val="24"/>
          <w:szCs w:val="24"/>
        </w:rPr>
        <w:t>.</w:t>
      </w:r>
      <w:r w:rsidRPr="00FE4A23">
        <w:rPr>
          <w:rFonts w:ascii="Garamond" w:hAnsi="Garamond" w:cs="Times New Roman"/>
          <w:i/>
          <w:iCs/>
          <w:sz w:val="24"/>
          <w:szCs w:val="24"/>
        </w:rPr>
        <w:t xml:space="preserve"> al-Jamī’ al-</w:t>
      </w:r>
      <w:r w:rsidRPr="00FE4A23">
        <w:rPr>
          <w:rFonts w:asciiTheme="majorBidi" w:hAnsiTheme="majorBidi" w:cs="Times New Roman"/>
          <w:i/>
          <w:iCs/>
          <w:sz w:val="24"/>
          <w:szCs w:val="24"/>
        </w:rPr>
        <w:t>Ṣ</w:t>
      </w:r>
      <w:r w:rsidRPr="00FE4A23">
        <w:rPr>
          <w:rFonts w:ascii="Garamond" w:hAnsi="Garamond" w:cs="Times New Roman"/>
          <w:i/>
          <w:iCs/>
          <w:sz w:val="24"/>
          <w:szCs w:val="24"/>
        </w:rPr>
        <w:t>a</w:t>
      </w:r>
      <w:r w:rsidRPr="00FE4A23">
        <w:rPr>
          <w:rFonts w:asciiTheme="majorBidi" w:hAnsiTheme="majorBidi" w:cs="Times New Roman"/>
          <w:i/>
          <w:iCs/>
          <w:sz w:val="24"/>
          <w:szCs w:val="24"/>
        </w:rPr>
        <w:t>ḥ</w:t>
      </w:r>
      <w:r w:rsidRPr="00FE4A23">
        <w:rPr>
          <w:rFonts w:ascii="Garamond" w:hAnsi="Garamond" w:cs="Times New Roman"/>
          <w:i/>
          <w:iCs/>
          <w:sz w:val="24"/>
          <w:szCs w:val="24"/>
        </w:rPr>
        <w:t>ī</w:t>
      </w:r>
      <w:r w:rsidRPr="00FE4A23">
        <w:rPr>
          <w:rFonts w:asciiTheme="majorBidi" w:hAnsiTheme="majorBidi" w:cs="Times New Roman"/>
          <w:i/>
          <w:iCs/>
          <w:sz w:val="24"/>
          <w:szCs w:val="24"/>
        </w:rPr>
        <w:t>ḥ</w:t>
      </w:r>
      <w:r w:rsidR="00706192">
        <w:rPr>
          <w:rFonts w:ascii="Garamond" w:hAnsi="Garamond" w:cs="Times New Roman"/>
          <w:sz w:val="24"/>
          <w:szCs w:val="24"/>
        </w:rPr>
        <w:t xml:space="preserve">. Juz 2. </w:t>
      </w:r>
      <w:r w:rsidRPr="00FE4A23">
        <w:rPr>
          <w:rFonts w:ascii="Garamond" w:hAnsi="Garamond" w:cs="Times New Roman"/>
          <w:sz w:val="24"/>
          <w:szCs w:val="24"/>
        </w:rPr>
        <w:t>Mesir: Ma</w:t>
      </w:r>
      <w:r w:rsidRPr="00FE4A23">
        <w:rPr>
          <w:rFonts w:asciiTheme="majorBidi" w:hAnsiTheme="majorBidi" w:cs="Times New Roman"/>
          <w:sz w:val="24"/>
          <w:szCs w:val="24"/>
        </w:rPr>
        <w:t>ṭ</w:t>
      </w:r>
      <w:r w:rsidRPr="00FE4A23">
        <w:rPr>
          <w:rFonts w:ascii="Garamond" w:hAnsi="Garamond" w:cs="Times New Roman"/>
          <w:sz w:val="24"/>
          <w:szCs w:val="24"/>
        </w:rPr>
        <w:t>ba’ah al-Salafiyyah</w:t>
      </w:r>
      <w:r w:rsidR="00706192">
        <w:rPr>
          <w:rFonts w:ascii="Garamond" w:hAnsi="Garamond" w:cs="Times New Roman"/>
          <w:sz w:val="24"/>
          <w:szCs w:val="24"/>
        </w:rPr>
        <w:t>, 1403 H</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Depart</w:t>
      </w:r>
      <w:r w:rsidR="00706192">
        <w:rPr>
          <w:rFonts w:ascii="Garamond" w:hAnsi="Garamond" w:cs="Times New Roman"/>
          <w:sz w:val="24"/>
          <w:szCs w:val="24"/>
        </w:rPr>
        <w:t>emen Pendidikan Nasional</w:t>
      </w:r>
      <w:r w:rsidRPr="00FE4A23">
        <w:rPr>
          <w:rFonts w:ascii="Garamond" w:hAnsi="Garamond" w:cs="Times New Roman"/>
          <w:sz w:val="24"/>
          <w:szCs w:val="24"/>
        </w:rPr>
        <w:t xml:space="preserve">. </w:t>
      </w:r>
      <w:r w:rsidRPr="00FE4A23">
        <w:rPr>
          <w:rFonts w:ascii="Garamond" w:hAnsi="Garamond" w:cs="Times New Roman"/>
          <w:i/>
          <w:iCs/>
          <w:sz w:val="24"/>
          <w:szCs w:val="24"/>
        </w:rPr>
        <w:t>Kamus Bahasa Indonesia</w:t>
      </w:r>
      <w:r w:rsidRPr="00FE4A23">
        <w:rPr>
          <w:rFonts w:ascii="Garamond" w:hAnsi="Garamond" w:cs="Times New Roman"/>
          <w:sz w:val="24"/>
          <w:szCs w:val="24"/>
        </w:rPr>
        <w:t>. Jakarta: Pusat Bahasa</w:t>
      </w:r>
      <w:r w:rsidR="00706192">
        <w:rPr>
          <w:rFonts w:ascii="Garamond" w:hAnsi="Garamond" w:cs="Times New Roman"/>
          <w:sz w:val="24"/>
          <w:szCs w:val="24"/>
        </w:rPr>
        <w:t>. 2008</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 xml:space="preserve">HS, Salim. </w:t>
      </w:r>
      <w:r w:rsidRPr="00FE4A23">
        <w:rPr>
          <w:rFonts w:ascii="Garamond" w:hAnsi="Garamond" w:cs="Times New Roman"/>
          <w:i/>
          <w:iCs/>
          <w:sz w:val="24"/>
          <w:szCs w:val="24"/>
        </w:rPr>
        <w:t>Pengantar Hukum Perdata Tertulis (BW)</w:t>
      </w:r>
      <w:r w:rsidRPr="00FE4A23">
        <w:rPr>
          <w:rFonts w:ascii="Garamond" w:hAnsi="Garamond" w:cs="Times New Roman"/>
          <w:sz w:val="24"/>
          <w:szCs w:val="24"/>
        </w:rPr>
        <w:t>. Cet-3. Jakarta: Sinar Grafika</w:t>
      </w:r>
      <w:r w:rsidR="00706192">
        <w:rPr>
          <w:rFonts w:ascii="Garamond" w:hAnsi="Garamond" w:cs="Times New Roman"/>
          <w:sz w:val="24"/>
          <w:szCs w:val="24"/>
        </w:rPr>
        <w:t>. 2005</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Ibn Mājah, Abī Abdullāh Muhammad ibn Yazīd al-Qazwainī.</w:t>
      </w:r>
      <w:r w:rsidRPr="00FE4A23">
        <w:rPr>
          <w:rFonts w:ascii="Garamond" w:hAnsi="Garamond" w:cs="Times New Roman"/>
          <w:i/>
          <w:iCs/>
          <w:sz w:val="24"/>
          <w:szCs w:val="24"/>
        </w:rPr>
        <w:t xml:space="preserve"> Sunan Ibn Mājah</w:t>
      </w:r>
      <w:r w:rsidRPr="00FE4A23">
        <w:rPr>
          <w:rFonts w:ascii="Garamond" w:hAnsi="Garamond" w:cs="Times New Roman"/>
          <w:sz w:val="24"/>
          <w:szCs w:val="24"/>
        </w:rPr>
        <w:t>. Riya</w:t>
      </w:r>
      <w:r w:rsidRPr="00FE4A23">
        <w:rPr>
          <w:rFonts w:asciiTheme="majorBidi" w:hAnsiTheme="majorBidi" w:cs="Times New Roman"/>
          <w:sz w:val="24"/>
          <w:szCs w:val="24"/>
        </w:rPr>
        <w:t>ḍ</w:t>
      </w:r>
      <w:r w:rsidRPr="00FE4A23">
        <w:rPr>
          <w:rFonts w:ascii="Garamond" w:hAnsi="Garamond" w:cs="Times New Roman"/>
          <w:sz w:val="24"/>
          <w:szCs w:val="24"/>
        </w:rPr>
        <w:t>: Maktabah al-Ma’ārif</w:t>
      </w:r>
      <w:r w:rsidR="00706192">
        <w:rPr>
          <w:rFonts w:ascii="Garamond" w:hAnsi="Garamond" w:cs="Times New Roman"/>
          <w:sz w:val="24"/>
          <w:szCs w:val="24"/>
        </w:rPr>
        <w:t>. 1417 H</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Ibn Qudāmah, Abū Muhammad ‘Abdullah ibn A</w:t>
      </w:r>
      <w:r w:rsidRPr="00FE4A23">
        <w:rPr>
          <w:rFonts w:asciiTheme="majorBidi" w:hAnsiTheme="majorBidi" w:cs="Times New Roman"/>
          <w:sz w:val="24"/>
          <w:szCs w:val="24"/>
        </w:rPr>
        <w:t>ḥ</w:t>
      </w:r>
      <w:r w:rsidRPr="00FE4A23">
        <w:rPr>
          <w:rFonts w:ascii="Garamond" w:hAnsi="Garamond" w:cs="Times New Roman"/>
          <w:sz w:val="24"/>
          <w:szCs w:val="24"/>
        </w:rPr>
        <w:t xml:space="preserve">mad </w:t>
      </w:r>
      <w:r w:rsidR="00706192">
        <w:rPr>
          <w:rFonts w:ascii="Garamond" w:hAnsi="Garamond" w:cs="Times New Roman"/>
          <w:sz w:val="24"/>
          <w:szCs w:val="24"/>
        </w:rPr>
        <w:t>ibn Muhammad al-Maqdisī.</w:t>
      </w:r>
      <w:r w:rsidRPr="00FE4A23">
        <w:rPr>
          <w:rFonts w:ascii="Garamond" w:hAnsi="Garamond" w:cs="Times New Roman"/>
          <w:sz w:val="24"/>
          <w:szCs w:val="24"/>
        </w:rPr>
        <w:t xml:space="preserve"> </w:t>
      </w:r>
      <w:r w:rsidRPr="00FE4A23">
        <w:rPr>
          <w:rFonts w:ascii="Garamond" w:hAnsi="Garamond" w:cs="Times New Roman"/>
          <w:i/>
          <w:iCs/>
          <w:sz w:val="24"/>
          <w:szCs w:val="24"/>
        </w:rPr>
        <w:t>al-Muqni’ fī Fiqh al-Imām A</w:t>
      </w:r>
      <w:r w:rsidRPr="00FE4A23">
        <w:rPr>
          <w:rFonts w:asciiTheme="majorBidi" w:hAnsiTheme="majorBidi" w:cs="Times New Roman"/>
          <w:i/>
          <w:iCs/>
          <w:sz w:val="24"/>
          <w:szCs w:val="24"/>
        </w:rPr>
        <w:t>ḥ</w:t>
      </w:r>
      <w:r w:rsidRPr="00FE4A23">
        <w:rPr>
          <w:rFonts w:ascii="Garamond" w:hAnsi="Garamond" w:cs="Times New Roman"/>
          <w:i/>
          <w:iCs/>
          <w:sz w:val="24"/>
          <w:szCs w:val="24"/>
        </w:rPr>
        <w:t xml:space="preserve">mad ibn </w:t>
      </w:r>
      <w:r w:rsidRPr="00FE4A23">
        <w:rPr>
          <w:rFonts w:asciiTheme="majorBidi" w:hAnsiTheme="majorBidi" w:cs="Times New Roman"/>
          <w:i/>
          <w:iCs/>
          <w:sz w:val="24"/>
          <w:szCs w:val="24"/>
        </w:rPr>
        <w:t>Ḥ</w:t>
      </w:r>
      <w:r w:rsidRPr="00FE4A23">
        <w:rPr>
          <w:rFonts w:ascii="Garamond" w:hAnsi="Garamond" w:cs="Times New Roman"/>
          <w:i/>
          <w:iCs/>
          <w:sz w:val="24"/>
          <w:szCs w:val="24"/>
        </w:rPr>
        <w:t>anbal al-Syaibānī</w:t>
      </w:r>
      <w:r w:rsidRPr="00FE4A23">
        <w:rPr>
          <w:rFonts w:ascii="Garamond" w:hAnsi="Garamond" w:cs="Times New Roman"/>
          <w:sz w:val="24"/>
          <w:szCs w:val="24"/>
        </w:rPr>
        <w:t>. Jeddah: Maktabah al-Sawādī li al-Tauzī’</w:t>
      </w:r>
      <w:r w:rsidR="00706192">
        <w:rPr>
          <w:rFonts w:ascii="Garamond" w:hAnsi="Garamond" w:cs="Times New Roman"/>
          <w:sz w:val="24"/>
          <w:szCs w:val="24"/>
        </w:rPr>
        <w:t>. 2000</w:t>
      </w:r>
    </w:p>
    <w:p w:rsidR="00C203B8" w:rsidRPr="00FE4A23" w:rsidRDefault="000C1A06" w:rsidP="000C1A06">
      <w:pPr>
        <w:spacing w:after="120" w:line="240" w:lineRule="auto"/>
        <w:jc w:val="both"/>
        <w:rPr>
          <w:rFonts w:ascii="Garamond" w:hAnsi="Garamond"/>
          <w:sz w:val="24"/>
          <w:szCs w:val="24"/>
        </w:rPr>
      </w:pPr>
      <w:r>
        <w:rPr>
          <w:rFonts w:ascii="Garamond" w:hAnsi="Garamond" w:cs="Times New Roman"/>
          <w:sz w:val="24"/>
          <w:szCs w:val="24"/>
        </w:rPr>
        <w:t xml:space="preserve">---------. </w:t>
      </w:r>
      <w:r w:rsidR="00C203B8" w:rsidRPr="00FE4A23">
        <w:rPr>
          <w:rFonts w:ascii="Garamond" w:hAnsi="Garamond" w:cs="Times New Roman"/>
          <w:i/>
          <w:iCs/>
          <w:sz w:val="24"/>
          <w:szCs w:val="24"/>
        </w:rPr>
        <w:t>al-Mughnī</w:t>
      </w:r>
      <w:r w:rsidR="00C203B8" w:rsidRPr="00FE4A23">
        <w:rPr>
          <w:rFonts w:ascii="Garamond" w:hAnsi="Garamond" w:cs="Times New Roman"/>
          <w:sz w:val="24"/>
          <w:szCs w:val="24"/>
        </w:rPr>
        <w:t>. Juz VIII. Riya</w:t>
      </w:r>
      <w:r w:rsidR="00C203B8" w:rsidRPr="00FE4A23">
        <w:rPr>
          <w:rFonts w:asciiTheme="majorBidi" w:hAnsiTheme="majorBidi" w:cs="Times New Roman"/>
          <w:sz w:val="24"/>
          <w:szCs w:val="24"/>
        </w:rPr>
        <w:t>ḍ</w:t>
      </w:r>
      <w:r w:rsidR="00C203B8" w:rsidRPr="00FE4A23">
        <w:rPr>
          <w:rFonts w:ascii="Garamond" w:hAnsi="Garamond" w:cs="Times New Roman"/>
          <w:sz w:val="24"/>
          <w:szCs w:val="24"/>
        </w:rPr>
        <w:t>: Dār ‘Ālim al-Kutub</w:t>
      </w:r>
      <w:r>
        <w:rPr>
          <w:rFonts w:ascii="Garamond" w:hAnsi="Garamond" w:cs="Times New Roman"/>
          <w:sz w:val="24"/>
          <w:szCs w:val="24"/>
        </w:rPr>
        <w:t>. 1997</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al-Jazīrī, ‘Abd al-Ra</w:t>
      </w:r>
      <w:r w:rsidRPr="00FE4A23">
        <w:rPr>
          <w:rFonts w:asciiTheme="majorBidi" w:hAnsiTheme="majorBidi" w:cs="Times New Roman"/>
          <w:sz w:val="24"/>
          <w:szCs w:val="24"/>
        </w:rPr>
        <w:t>ḥ</w:t>
      </w:r>
      <w:r w:rsidR="000C1A06">
        <w:rPr>
          <w:rFonts w:ascii="Garamond" w:hAnsi="Garamond" w:cs="Times New Roman"/>
          <w:sz w:val="24"/>
          <w:szCs w:val="24"/>
        </w:rPr>
        <w:t>mān</w:t>
      </w:r>
      <w:r w:rsidRPr="00FE4A23">
        <w:rPr>
          <w:rFonts w:ascii="Garamond" w:hAnsi="Garamond" w:cs="Times New Roman"/>
          <w:sz w:val="24"/>
          <w:szCs w:val="24"/>
        </w:rPr>
        <w:t xml:space="preserve">. </w:t>
      </w:r>
      <w:r w:rsidRPr="00FE4A23">
        <w:rPr>
          <w:rFonts w:ascii="Garamond" w:hAnsi="Garamond" w:cs="Times New Roman"/>
          <w:i/>
          <w:iCs/>
          <w:sz w:val="24"/>
          <w:szCs w:val="24"/>
        </w:rPr>
        <w:t>Kitāb al-Fiqh ‘alā al-Mazāhib al-Arba’ah</w:t>
      </w:r>
      <w:r w:rsidRPr="00FE4A23">
        <w:rPr>
          <w:rFonts w:ascii="Garamond" w:hAnsi="Garamond" w:cs="Times New Roman"/>
          <w:sz w:val="24"/>
          <w:szCs w:val="24"/>
        </w:rPr>
        <w:t>. Juz III. Beirut: Dār al-Kutub al-‘Ilmiyyah</w:t>
      </w:r>
      <w:r w:rsidR="000C1A06">
        <w:rPr>
          <w:rFonts w:ascii="Garamond" w:hAnsi="Garamond" w:cs="Times New Roman"/>
          <w:sz w:val="24"/>
          <w:szCs w:val="24"/>
        </w:rPr>
        <w:t>. 2002</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al-Kasānī, Imām ‘Alāuddīn Abī Bakr ibn Mas’ūd al-Hana</w:t>
      </w:r>
      <w:r w:rsidR="000C1A06">
        <w:rPr>
          <w:rFonts w:ascii="Garamond" w:hAnsi="Garamond" w:cs="Times New Roman"/>
          <w:sz w:val="24"/>
          <w:szCs w:val="24"/>
        </w:rPr>
        <w:t>fī</w:t>
      </w:r>
      <w:r w:rsidRPr="00FE4A23">
        <w:rPr>
          <w:rFonts w:ascii="Garamond" w:hAnsi="Garamond" w:cs="Times New Roman"/>
          <w:sz w:val="24"/>
          <w:szCs w:val="24"/>
        </w:rPr>
        <w:t xml:space="preserve">. </w:t>
      </w:r>
      <w:r w:rsidRPr="00FE4A23">
        <w:rPr>
          <w:rFonts w:ascii="Garamond" w:hAnsi="Garamond" w:cs="Times New Roman"/>
          <w:i/>
          <w:iCs/>
          <w:sz w:val="24"/>
          <w:szCs w:val="24"/>
        </w:rPr>
        <w:t>Badā’i al-</w:t>
      </w:r>
      <w:r w:rsidRPr="00FE4A23">
        <w:rPr>
          <w:rFonts w:asciiTheme="majorBidi" w:hAnsiTheme="majorBidi" w:cs="Times New Roman"/>
          <w:i/>
          <w:iCs/>
          <w:sz w:val="24"/>
          <w:szCs w:val="24"/>
        </w:rPr>
        <w:t>Ṣ</w:t>
      </w:r>
      <w:r w:rsidRPr="00FE4A23">
        <w:rPr>
          <w:rFonts w:ascii="Garamond" w:hAnsi="Garamond" w:cs="Times New Roman"/>
          <w:i/>
          <w:iCs/>
          <w:sz w:val="24"/>
          <w:szCs w:val="24"/>
        </w:rPr>
        <w:t>anāi’ fī Tartīb al-Syarāi’</w:t>
      </w:r>
      <w:r w:rsidRPr="00FE4A23">
        <w:rPr>
          <w:rFonts w:ascii="Garamond" w:hAnsi="Garamond" w:cs="Times New Roman"/>
          <w:sz w:val="24"/>
          <w:szCs w:val="24"/>
        </w:rPr>
        <w:t>. Juz X. Beirut: Dār al-Kutub al-‘Ilmiyyah</w:t>
      </w:r>
      <w:r w:rsidR="000C1A06">
        <w:rPr>
          <w:rFonts w:ascii="Garamond" w:hAnsi="Garamond" w:cs="Times New Roman"/>
          <w:sz w:val="24"/>
          <w:szCs w:val="24"/>
        </w:rPr>
        <w:t>. 2002</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al-Ka</w:t>
      </w:r>
      <w:r w:rsidR="000C1A06">
        <w:rPr>
          <w:rFonts w:ascii="Garamond" w:hAnsi="Garamond" w:cs="Times New Roman"/>
          <w:sz w:val="24"/>
          <w:szCs w:val="24"/>
        </w:rPr>
        <w:t>snāwī, Abū Bakr ibn Husain</w:t>
      </w:r>
      <w:r w:rsidRPr="00FE4A23">
        <w:rPr>
          <w:rFonts w:ascii="Garamond" w:hAnsi="Garamond" w:cs="Times New Roman"/>
          <w:sz w:val="24"/>
          <w:szCs w:val="24"/>
        </w:rPr>
        <w:t>.</w:t>
      </w:r>
      <w:r w:rsidRPr="00FE4A23">
        <w:rPr>
          <w:rFonts w:ascii="Garamond" w:hAnsi="Garamond" w:cs="Times New Roman"/>
          <w:i/>
          <w:iCs/>
          <w:sz w:val="24"/>
          <w:szCs w:val="24"/>
        </w:rPr>
        <w:t xml:space="preserve"> A</w:t>
      </w:r>
      <w:r w:rsidRPr="00FE4A23">
        <w:rPr>
          <w:rFonts w:asciiTheme="majorBidi" w:hAnsiTheme="majorBidi" w:cs="Times New Roman"/>
          <w:i/>
          <w:iCs/>
          <w:sz w:val="24"/>
          <w:szCs w:val="24"/>
        </w:rPr>
        <w:t>ṣ</w:t>
      </w:r>
      <w:r w:rsidRPr="00FE4A23">
        <w:rPr>
          <w:rFonts w:ascii="Garamond" w:hAnsi="Garamond" w:cs="Times New Roman"/>
          <w:i/>
          <w:iCs/>
          <w:sz w:val="24"/>
          <w:szCs w:val="24"/>
        </w:rPr>
        <w:t>al al-Madārik: Syar</w:t>
      </w:r>
      <w:r w:rsidRPr="00FE4A23">
        <w:rPr>
          <w:rFonts w:asciiTheme="majorBidi" w:hAnsiTheme="majorBidi" w:cs="Times New Roman"/>
          <w:i/>
          <w:iCs/>
          <w:sz w:val="24"/>
          <w:szCs w:val="24"/>
        </w:rPr>
        <w:t>ḥ</w:t>
      </w:r>
      <w:r w:rsidRPr="00FE4A23">
        <w:rPr>
          <w:rFonts w:ascii="Garamond" w:hAnsi="Garamond" w:cs="Times New Roman"/>
          <w:i/>
          <w:iCs/>
          <w:sz w:val="24"/>
          <w:szCs w:val="24"/>
        </w:rPr>
        <w:t xml:space="preserve"> Irsyād al-Sālik fī Fiqh Imām al-A’immah Mālik</w:t>
      </w:r>
      <w:r w:rsidRPr="00FE4A23">
        <w:rPr>
          <w:rFonts w:ascii="Garamond" w:hAnsi="Garamond" w:cs="Times New Roman"/>
          <w:sz w:val="24"/>
          <w:szCs w:val="24"/>
        </w:rPr>
        <w:t>. Juz III. Beirut: Dār al-Fikr</w:t>
      </w:r>
      <w:r w:rsidR="000C1A06">
        <w:rPr>
          <w:rFonts w:ascii="Garamond" w:hAnsi="Garamond" w:cs="Times New Roman"/>
          <w:sz w:val="24"/>
          <w:szCs w:val="24"/>
        </w:rPr>
        <w:t>. tt</w:t>
      </w:r>
    </w:p>
    <w:p w:rsidR="00C203B8" w:rsidRPr="00FE4A23" w:rsidRDefault="000C1A06" w:rsidP="00FE4A23">
      <w:pPr>
        <w:spacing w:after="120" w:line="240" w:lineRule="auto"/>
        <w:ind w:left="567" w:hanging="567"/>
        <w:jc w:val="both"/>
        <w:rPr>
          <w:rFonts w:ascii="Garamond" w:hAnsi="Garamond"/>
          <w:sz w:val="24"/>
          <w:szCs w:val="24"/>
        </w:rPr>
      </w:pPr>
      <w:r>
        <w:rPr>
          <w:rFonts w:ascii="Garamond" w:hAnsi="Garamond" w:cs="Times New Roman"/>
          <w:sz w:val="24"/>
          <w:szCs w:val="24"/>
        </w:rPr>
        <w:t>al-Mahallī, Jalāl al-Dīn</w:t>
      </w:r>
      <w:r w:rsidR="00C203B8" w:rsidRPr="00FE4A23">
        <w:rPr>
          <w:rFonts w:ascii="Garamond" w:hAnsi="Garamond" w:cs="Times New Roman"/>
          <w:sz w:val="24"/>
          <w:szCs w:val="24"/>
        </w:rPr>
        <w:t>.</w:t>
      </w:r>
      <w:r w:rsidR="00C203B8" w:rsidRPr="00FE4A23">
        <w:rPr>
          <w:rFonts w:ascii="Garamond" w:hAnsi="Garamond" w:cs="Times New Roman"/>
          <w:i/>
          <w:iCs/>
          <w:sz w:val="24"/>
          <w:szCs w:val="24"/>
        </w:rPr>
        <w:t xml:space="preserve"> Syar</w:t>
      </w:r>
      <w:r w:rsidR="00C203B8" w:rsidRPr="00FE4A23">
        <w:rPr>
          <w:rFonts w:asciiTheme="majorBidi" w:hAnsiTheme="majorBidi" w:cs="Times New Roman"/>
          <w:i/>
          <w:iCs/>
          <w:sz w:val="24"/>
          <w:szCs w:val="24"/>
        </w:rPr>
        <w:t>ḥ</w:t>
      </w:r>
      <w:r w:rsidR="00C203B8" w:rsidRPr="00FE4A23">
        <w:rPr>
          <w:rFonts w:ascii="Garamond" w:hAnsi="Garamond" w:cs="Times New Roman"/>
          <w:i/>
          <w:iCs/>
          <w:sz w:val="24"/>
          <w:szCs w:val="24"/>
        </w:rPr>
        <w:t>u Minhaj al-</w:t>
      </w:r>
      <w:r w:rsidR="00C203B8" w:rsidRPr="00FE4A23">
        <w:rPr>
          <w:rFonts w:asciiTheme="majorBidi" w:hAnsiTheme="majorBidi" w:cs="Times New Roman"/>
          <w:i/>
          <w:iCs/>
          <w:sz w:val="24"/>
          <w:szCs w:val="24"/>
        </w:rPr>
        <w:t>Ṭ</w:t>
      </w:r>
      <w:r w:rsidR="00C203B8" w:rsidRPr="00FE4A23">
        <w:rPr>
          <w:rFonts w:ascii="Garamond" w:hAnsi="Garamond" w:cs="Times New Roman"/>
          <w:i/>
          <w:iCs/>
          <w:sz w:val="24"/>
          <w:szCs w:val="24"/>
        </w:rPr>
        <w:t>ālibīn</w:t>
      </w:r>
      <w:r w:rsidR="00C203B8" w:rsidRPr="00FE4A23">
        <w:rPr>
          <w:rFonts w:ascii="Garamond" w:hAnsi="Garamond" w:cs="Times New Roman"/>
          <w:sz w:val="24"/>
          <w:szCs w:val="24"/>
        </w:rPr>
        <w:t>. Juz III. Kairo: Dār Ihyā’ al-Kutub al-‘Arabī</w:t>
      </w:r>
      <w:r>
        <w:rPr>
          <w:rFonts w:ascii="Garamond" w:hAnsi="Garamond" w:cs="Times New Roman"/>
          <w:sz w:val="24"/>
          <w:szCs w:val="24"/>
        </w:rPr>
        <w:t>. tt</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 xml:space="preserve">Mertokusumo, Sudikno. </w:t>
      </w:r>
      <w:r w:rsidRPr="00FE4A23">
        <w:rPr>
          <w:rFonts w:ascii="Garamond" w:hAnsi="Garamond" w:cs="Times New Roman"/>
          <w:i/>
          <w:iCs/>
          <w:sz w:val="24"/>
          <w:szCs w:val="24"/>
        </w:rPr>
        <w:t>Mengenal Hukum: Suatu Pengantar</w:t>
      </w:r>
      <w:r w:rsidRPr="00FE4A23">
        <w:rPr>
          <w:rFonts w:ascii="Garamond" w:hAnsi="Garamond" w:cs="Times New Roman"/>
          <w:sz w:val="24"/>
          <w:szCs w:val="24"/>
        </w:rPr>
        <w:t>. Yogyakarta: Liberty</w:t>
      </w:r>
      <w:r w:rsidR="000C1A06">
        <w:rPr>
          <w:rFonts w:ascii="Garamond" w:hAnsi="Garamond" w:cs="Times New Roman"/>
          <w:sz w:val="24"/>
          <w:szCs w:val="24"/>
        </w:rPr>
        <w:t>. 1996</w:t>
      </w:r>
    </w:p>
    <w:p w:rsidR="00C203B8" w:rsidRPr="00FE4A23" w:rsidRDefault="000C1A06" w:rsidP="00FE4A23">
      <w:pPr>
        <w:spacing w:after="120" w:line="240" w:lineRule="auto"/>
        <w:ind w:left="567" w:hanging="567"/>
        <w:jc w:val="both"/>
        <w:rPr>
          <w:rFonts w:ascii="Garamond" w:hAnsi="Garamond" w:cs="Times New Roman"/>
          <w:b/>
          <w:sz w:val="24"/>
          <w:szCs w:val="24"/>
        </w:rPr>
      </w:pPr>
      <w:r>
        <w:rPr>
          <w:rFonts w:ascii="Garamond" w:hAnsi="Garamond" w:cs="Times New Roman"/>
          <w:sz w:val="24"/>
          <w:szCs w:val="24"/>
        </w:rPr>
        <w:t>Munawwir, Ahmad Warson</w:t>
      </w:r>
      <w:r w:rsidR="00C203B8" w:rsidRPr="00FE4A23">
        <w:rPr>
          <w:rFonts w:ascii="Garamond" w:hAnsi="Garamond" w:cs="Times New Roman"/>
          <w:sz w:val="24"/>
          <w:szCs w:val="24"/>
        </w:rPr>
        <w:t xml:space="preserve">. </w:t>
      </w:r>
      <w:r w:rsidR="00C203B8" w:rsidRPr="00FE4A23">
        <w:rPr>
          <w:rFonts w:ascii="Garamond" w:hAnsi="Garamond" w:cs="Times New Roman"/>
          <w:i/>
          <w:iCs/>
          <w:sz w:val="24"/>
          <w:szCs w:val="24"/>
        </w:rPr>
        <w:t>Kamus Arab-Indonesia</w:t>
      </w:r>
      <w:r w:rsidR="00C203B8" w:rsidRPr="00FE4A23">
        <w:rPr>
          <w:rFonts w:ascii="Garamond" w:hAnsi="Garamond" w:cs="Times New Roman"/>
          <w:sz w:val="24"/>
          <w:szCs w:val="24"/>
        </w:rPr>
        <w:t>. cet-14. ed-2. Surabaya: Pustaka Progressif</w:t>
      </w:r>
      <w:r>
        <w:rPr>
          <w:rFonts w:ascii="Garamond" w:hAnsi="Garamond" w:cs="Times New Roman"/>
          <w:sz w:val="24"/>
          <w:szCs w:val="24"/>
        </w:rPr>
        <w:t>. 1997</w:t>
      </w:r>
    </w:p>
    <w:p w:rsidR="00C203B8" w:rsidRPr="00FE4A23" w:rsidRDefault="000C1A06" w:rsidP="00FE4A23">
      <w:pPr>
        <w:spacing w:after="120" w:line="240" w:lineRule="auto"/>
        <w:ind w:left="567" w:hanging="567"/>
        <w:jc w:val="both"/>
        <w:rPr>
          <w:rFonts w:ascii="Garamond" w:hAnsi="Garamond"/>
          <w:sz w:val="24"/>
          <w:szCs w:val="24"/>
        </w:rPr>
      </w:pPr>
      <w:r>
        <w:rPr>
          <w:rFonts w:ascii="Garamond" w:hAnsi="Garamond" w:cs="Times New Roman"/>
          <w:sz w:val="24"/>
          <w:szCs w:val="24"/>
        </w:rPr>
        <w:t>Sābiq, Syaikh Sayyid</w:t>
      </w:r>
      <w:r w:rsidR="00C203B8" w:rsidRPr="00FE4A23">
        <w:rPr>
          <w:rFonts w:ascii="Garamond" w:hAnsi="Garamond" w:cs="Times New Roman"/>
          <w:sz w:val="24"/>
          <w:szCs w:val="24"/>
        </w:rPr>
        <w:t xml:space="preserve">. </w:t>
      </w:r>
      <w:r w:rsidR="00C203B8" w:rsidRPr="00FE4A23">
        <w:rPr>
          <w:rFonts w:ascii="Garamond" w:hAnsi="Garamond" w:cs="Times New Roman"/>
          <w:i/>
          <w:iCs/>
          <w:sz w:val="24"/>
          <w:szCs w:val="24"/>
        </w:rPr>
        <w:t>Fiqh al-Sunnah</w:t>
      </w:r>
      <w:r w:rsidR="00C203B8" w:rsidRPr="00FE4A23">
        <w:rPr>
          <w:rFonts w:ascii="Garamond" w:hAnsi="Garamond" w:cs="Times New Roman"/>
          <w:sz w:val="24"/>
          <w:szCs w:val="24"/>
        </w:rPr>
        <w:t>. Juz III. Beirut: Dār al-Fikr</w:t>
      </w:r>
      <w:r>
        <w:rPr>
          <w:rFonts w:ascii="Garamond" w:hAnsi="Garamond" w:cs="Times New Roman"/>
          <w:sz w:val="24"/>
          <w:szCs w:val="24"/>
        </w:rPr>
        <w:t>. 2007</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 xml:space="preserve">Satori, </w:t>
      </w:r>
      <w:r w:rsidR="000C1A06">
        <w:rPr>
          <w:rFonts w:ascii="Garamond" w:hAnsi="Garamond" w:cs="Times New Roman"/>
          <w:sz w:val="24"/>
          <w:szCs w:val="24"/>
        </w:rPr>
        <w:t>Djam’an dan Aan Komariah</w:t>
      </w:r>
      <w:r w:rsidRPr="00FE4A23">
        <w:rPr>
          <w:rFonts w:ascii="Garamond" w:hAnsi="Garamond" w:cs="Times New Roman"/>
          <w:sz w:val="24"/>
          <w:szCs w:val="24"/>
        </w:rPr>
        <w:t xml:space="preserve">. </w:t>
      </w:r>
      <w:r w:rsidRPr="00FE4A23">
        <w:rPr>
          <w:rFonts w:ascii="Garamond" w:hAnsi="Garamond" w:cs="Times New Roman"/>
          <w:i/>
          <w:iCs/>
          <w:sz w:val="24"/>
          <w:szCs w:val="24"/>
        </w:rPr>
        <w:t>Metodologi Penelitian Kualitatif</w:t>
      </w:r>
      <w:r w:rsidRPr="00FE4A23">
        <w:rPr>
          <w:rFonts w:ascii="Garamond" w:hAnsi="Garamond" w:cs="Times New Roman"/>
          <w:sz w:val="24"/>
          <w:szCs w:val="24"/>
        </w:rPr>
        <w:t>. Bandung: Alfabeta</w:t>
      </w:r>
      <w:r w:rsidR="000C1A06">
        <w:rPr>
          <w:rFonts w:ascii="Garamond" w:hAnsi="Garamond" w:cs="Times New Roman"/>
          <w:sz w:val="24"/>
          <w:szCs w:val="24"/>
        </w:rPr>
        <w:t>. 2009</w:t>
      </w:r>
    </w:p>
    <w:p w:rsidR="00C203B8" w:rsidRPr="00FE4A23" w:rsidRDefault="000C1A06" w:rsidP="00FE4A23">
      <w:pPr>
        <w:spacing w:after="120" w:line="240" w:lineRule="auto"/>
        <w:ind w:left="567" w:hanging="567"/>
        <w:jc w:val="both"/>
        <w:rPr>
          <w:rFonts w:ascii="Garamond" w:hAnsi="Garamond"/>
          <w:sz w:val="24"/>
          <w:szCs w:val="24"/>
        </w:rPr>
      </w:pPr>
      <w:r>
        <w:rPr>
          <w:rFonts w:ascii="Garamond" w:hAnsi="Garamond" w:cs="Times New Roman"/>
          <w:sz w:val="24"/>
          <w:szCs w:val="24"/>
        </w:rPr>
        <w:t>Sunggono, Bambang</w:t>
      </w:r>
      <w:r w:rsidR="00C203B8" w:rsidRPr="00FE4A23">
        <w:rPr>
          <w:rFonts w:ascii="Garamond" w:hAnsi="Garamond" w:cs="Times New Roman"/>
          <w:sz w:val="24"/>
          <w:szCs w:val="24"/>
        </w:rPr>
        <w:t xml:space="preserve">. </w:t>
      </w:r>
      <w:r w:rsidR="00C203B8" w:rsidRPr="00FE4A23">
        <w:rPr>
          <w:rFonts w:ascii="Garamond" w:hAnsi="Garamond" w:cs="Times New Roman"/>
          <w:i/>
          <w:iCs/>
          <w:sz w:val="24"/>
          <w:szCs w:val="24"/>
        </w:rPr>
        <w:t>Metode Penelitian Hukum</w:t>
      </w:r>
      <w:r w:rsidR="00C203B8" w:rsidRPr="00FE4A23">
        <w:rPr>
          <w:rFonts w:ascii="Garamond" w:hAnsi="Garamond" w:cs="Times New Roman"/>
          <w:sz w:val="24"/>
          <w:szCs w:val="24"/>
        </w:rPr>
        <w:t>. Jakarta: Raja Grafindo Persada</w:t>
      </w:r>
      <w:r>
        <w:rPr>
          <w:rFonts w:ascii="Garamond" w:hAnsi="Garamond" w:cs="Times New Roman"/>
          <w:sz w:val="24"/>
          <w:szCs w:val="24"/>
        </w:rPr>
        <w:t>. 2005</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al-Syarbainī, Syams al-Dīn Muhammad ibn al-Kha</w:t>
      </w:r>
      <w:r w:rsidRPr="00FE4A23">
        <w:rPr>
          <w:rFonts w:asciiTheme="majorBidi" w:hAnsiTheme="majorBidi" w:cs="Times New Roman"/>
          <w:sz w:val="24"/>
          <w:szCs w:val="24"/>
        </w:rPr>
        <w:t>ṭ</w:t>
      </w:r>
      <w:r w:rsidR="000C1A06">
        <w:rPr>
          <w:rFonts w:ascii="Garamond" w:hAnsi="Garamond" w:cs="Times New Roman"/>
          <w:sz w:val="24"/>
          <w:szCs w:val="24"/>
        </w:rPr>
        <w:t>īb</w:t>
      </w:r>
      <w:r w:rsidRPr="00FE4A23">
        <w:rPr>
          <w:rFonts w:ascii="Garamond" w:hAnsi="Garamond" w:cs="Times New Roman"/>
          <w:sz w:val="24"/>
          <w:szCs w:val="24"/>
        </w:rPr>
        <w:t xml:space="preserve">. </w:t>
      </w:r>
      <w:r w:rsidRPr="00FE4A23">
        <w:rPr>
          <w:rFonts w:ascii="Garamond" w:hAnsi="Garamond" w:cs="Times New Roman"/>
          <w:i/>
          <w:iCs/>
          <w:sz w:val="24"/>
          <w:szCs w:val="24"/>
        </w:rPr>
        <w:t>Mughnī al-Mu</w:t>
      </w:r>
      <w:r w:rsidRPr="00FE4A23">
        <w:rPr>
          <w:rFonts w:asciiTheme="majorBidi" w:hAnsiTheme="majorBidi" w:cs="Times New Roman"/>
          <w:i/>
          <w:iCs/>
          <w:sz w:val="24"/>
          <w:szCs w:val="24"/>
        </w:rPr>
        <w:t>ḥ</w:t>
      </w:r>
      <w:r w:rsidRPr="00FE4A23">
        <w:rPr>
          <w:rFonts w:ascii="Garamond" w:hAnsi="Garamond" w:cs="Times New Roman"/>
          <w:i/>
          <w:iCs/>
          <w:sz w:val="24"/>
          <w:szCs w:val="24"/>
        </w:rPr>
        <w:t>tāj</w:t>
      </w:r>
      <w:r w:rsidRPr="00FE4A23">
        <w:rPr>
          <w:rFonts w:ascii="Garamond" w:hAnsi="Garamond" w:cs="Times New Roman"/>
          <w:sz w:val="24"/>
          <w:szCs w:val="24"/>
        </w:rPr>
        <w:t>. Juz III. Beirut: Dār al-Ma’rifah</w:t>
      </w:r>
      <w:r w:rsidR="000C1A06">
        <w:rPr>
          <w:rFonts w:ascii="Garamond" w:hAnsi="Garamond" w:cs="Times New Roman"/>
          <w:sz w:val="24"/>
          <w:szCs w:val="24"/>
        </w:rPr>
        <w:t>. 1997</w:t>
      </w:r>
    </w:p>
    <w:p w:rsidR="00C203B8" w:rsidRPr="00FE4A23" w:rsidRDefault="00C203B8" w:rsidP="00FE4A23">
      <w:pPr>
        <w:spacing w:after="120" w:line="240" w:lineRule="auto"/>
        <w:ind w:left="567" w:hanging="567"/>
        <w:jc w:val="both"/>
        <w:rPr>
          <w:rFonts w:ascii="Garamond" w:hAnsi="Garamond"/>
          <w:sz w:val="24"/>
          <w:szCs w:val="24"/>
        </w:rPr>
      </w:pPr>
      <w:r w:rsidRPr="00FE4A23">
        <w:rPr>
          <w:rFonts w:ascii="Garamond" w:hAnsi="Garamond" w:cs="Times New Roman"/>
          <w:sz w:val="24"/>
          <w:szCs w:val="24"/>
        </w:rPr>
        <w:t>Sya</w:t>
      </w:r>
      <w:r w:rsidRPr="00FE4A23">
        <w:rPr>
          <w:rFonts w:asciiTheme="majorBidi" w:hAnsiTheme="majorBidi" w:cs="Times New Roman"/>
          <w:sz w:val="24"/>
          <w:szCs w:val="24"/>
        </w:rPr>
        <w:t>ṭ</w:t>
      </w:r>
      <w:r w:rsidRPr="00FE4A23">
        <w:rPr>
          <w:rFonts w:ascii="Garamond" w:hAnsi="Garamond" w:cs="Times New Roman"/>
          <w:sz w:val="24"/>
          <w:szCs w:val="24"/>
        </w:rPr>
        <w:t>ā, Abū Bakr ibn Muhammad Zain al-‘Ābidīn.</w:t>
      </w:r>
      <w:r w:rsidRPr="00FE4A23">
        <w:rPr>
          <w:rFonts w:ascii="Garamond" w:hAnsi="Garamond" w:cs="Times New Roman"/>
          <w:i/>
          <w:iCs/>
          <w:sz w:val="24"/>
          <w:szCs w:val="24"/>
        </w:rPr>
        <w:t xml:space="preserve"> I’ānah al-</w:t>
      </w:r>
      <w:r w:rsidRPr="00FE4A23">
        <w:rPr>
          <w:rFonts w:asciiTheme="majorBidi" w:hAnsiTheme="majorBidi" w:cs="Times New Roman"/>
          <w:i/>
          <w:iCs/>
          <w:sz w:val="24"/>
          <w:szCs w:val="24"/>
        </w:rPr>
        <w:t>Ṭ</w:t>
      </w:r>
      <w:r w:rsidRPr="00FE4A23">
        <w:rPr>
          <w:rFonts w:ascii="Garamond" w:hAnsi="Garamond" w:cs="Times New Roman"/>
          <w:i/>
          <w:iCs/>
          <w:sz w:val="24"/>
          <w:szCs w:val="24"/>
        </w:rPr>
        <w:t>ālibīn</w:t>
      </w:r>
      <w:r w:rsidRPr="00FE4A23">
        <w:rPr>
          <w:rFonts w:ascii="Garamond" w:hAnsi="Garamond" w:cs="Times New Roman"/>
          <w:sz w:val="24"/>
          <w:szCs w:val="24"/>
        </w:rPr>
        <w:t>. Juz 3. t.tp: Dār I</w:t>
      </w:r>
      <w:r w:rsidRPr="00FE4A23">
        <w:rPr>
          <w:rFonts w:asciiTheme="majorBidi" w:hAnsiTheme="majorBidi" w:cs="Times New Roman"/>
          <w:sz w:val="24"/>
          <w:szCs w:val="24"/>
        </w:rPr>
        <w:t>ḥ</w:t>
      </w:r>
      <w:r w:rsidRPr="00FE4A23">
        <w:rPr>
          <w:rFonts w:ascii="Garamond" w:hAnsi="Garamond" w:cs="Times New Roman"/>
          <w:sz w:val="24"/>
          <w:szCs w:val="24"/>
        </w:rPr>
        <w:t>yā’ al-Kutub al-‘Arabiyyah</w:t>
      </w:r>
      <w:r w:rsidR="000C1A06">
        <w:rPr>
          <w:rFonts w:ascii="Garamond" w:hAnsi="Garamond" w:cs="Times New Roman"/>
          <w:sz w:val="24"/>
          <w:szCs w:val="24"/>
        </w:rPr>
        <w:t>. tt</w:t>
      </w:r>
    </w:p>
    <w:p w:rsidR="00773BD0" w:rsidRDefault="000C1A06" w:rsidP="00FE4A23">
      <w:pPr>
        <w:spacing w:after="120" w:line="240" w:lineRule="auto"/>
        <w:ind w:left="567" w:hanging="567"/>
        <w:jc w:val="both"/>
        <w:rPr>
          <w:rFonts w:ascii="Garamond" w:hAnsi="Garamond" w:cs="Times New Roman"/>
          <w:sz w:val="24"/>
          <w:szCs w:val="24"/>
        </w:rPr>
      </w:pPr>
      <w:r>
        <w:rPr>
          <w:rFonts w:ascii="Garamond" w:hAnsi="Garamond" w:cs="Times New Roman"/>
          <w:sz w:val="24"/>
          <w:szCs w:val="24"/>
        </w:rPr>
        <w:t>al-Zuhailī, Wahbah</w:t>
      </w:r>
      <w:r w:rsidR="00C203B8" w:rsidRPr="00FE4A23">
        <w:rPr>
          <w:rFonts w:ascii="Garamond" w:hAnsi="Garamond" w:cs="Times New Roman"/>
          <w:sz w:val="24"/>
          <w:szCs w:val="24"/>
        </w:rPr>
        <w:t xml:space="preserve">. </w:t>
      </w:r>
      <w:r w:rsidR="00C203B8" w:rsidRPr="00FE4A23">
        <w:rPr>
          <w:rFonts w:ascii="Garamond" w:hAnsi="Garamond" w:cs="Times New Roman"/>
          <w:i/>
          <w:iCs/>
          <w:sz w:val="24"/>
          <w:szCs w:val="24"/>
        </w:rPr>
        <w:t>al-Fiqh al-Islāmī wa adillatuh</w:t>
      </w:r>
      <w:r w:rsidR="00C203B8" w:rsidRPr="00FE4A23">
        <w:rPr>
          <w:rFonts w:ascii="Garamond" w:hAnsi="Garamond" w:cs="Times New Roman"/>
          <w:sz w:val="24"/>
          <w:szCs w:val="24"/>
        </w:rPr>
        <w:t>. Juz VIII. Beirut: Dār al-Fikr</w:t>
      </w:r>
      <w:r>
        <w:rPr>
          <w:rFonts w:ascii="Garamond" w:hAnsi="Garamond" w:cs="Times New Roman"/>
          <w:sz w:val="24"/>
          <w:szCs w:val="24"/>
        </w:rPr>
        <w:t>. 1985</w:t>
      </w:r>
    </w:p>
    <w:p w:rsidR="000C1A06" w:rsidRPr="00FE4A23" w:rsidRDefault="000C1A06" w:rsidP="00FE4A23">
      <w:pPr>
        <w:spacing w:after="120" w:line="240" w:lineRule="auto"/>
        <w:ind w:left="567" w:hanging="567"/>
        <w:jc w:val="both"/>
        <w:rPr>
          <w:rFonts w:ascii="Garamond" w:hAnsi="Garamond" w:cs="Times New Roman"/>
          <w:sz w:val="24"/>
          <w:szCs w:val="24"/>
        </w:rPr>
      </w:pPr>
      <w:r>
        <w:rPr>
          <w:rFonts w:ascii="Garamond" w:hAnsi="Garamond" w:cs="Times New Roman"/>
          <w:sz w:val="24"/>
          <w:szCs w:val="24"/>
        </w:rPr>
        <w:lastRenderedPageBreak/>
        <w:t>Salinan Putusan Pengadilan Negeri Padang Nomor: 69/Pdt.G/2009/PN.Pdg</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Kitab Undang-undang Hukum Perdata (KUH Perdata)</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Instruksi Presiden RI Nomor 1 Tahun 1991 tentang Kompilasi Hukum Islam</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Undang-undang Nomor 2 Tahun 1986 tentang Peradilan Umum</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Perubahan Pertama Undang-undang Peradilan Umum Nomor 8 Tahun 2004</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Perubahan Kedua Undang-undang Peradilan Umum Nomor 49 Tahun 2009</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Undang-undang Nomor 7 Tahun 1989 tentang Peradilan Agama</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Perubahan Pertama Undang-undang Peradilan Agama Nomor 3 Tahun 2006</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Perubahan Kedua Undang-undang Peradilan Agama Nomor 50 Tahun 2009</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Undang-undang Nomor 14 Tahun 1970 tentang Kekuasaan Kehakiman</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Perubahan Pertama Undang-undang Kekuasaan Kehakiman Nomor 35 Tahun 1999</w:t>
      </w:r>
    </w:p>
    <w:p w:rsidR="00773BD0" w:rsidRPr="00FE4A23" w:rsidRDefault="00773BD0" w:rsidP="00FE4A23">
      <w:pPr>
        <w:spacing w:after="120" w:line="240" w:lineRule="auto"/>
        <w:ind w:left="567" w:hanging="567"/>
        <w:jc w:val="both"/>
        <w:rPr>
          <w:rFonts w:ascii="Garamond" w:hAnsi="Garamond" w:cs="Times New Roman"/>
          <w:sz w:val="24"/>
          <w:szCs w:val="24"/>
        </w:rPr>
      </w:pPr>
      <w:r w:rsidRPr="00FE4A23">
        <w:rPr>
          <w:rFonts w:ascii="Garamond" w:hAnsi="Garamond" w:cs="Times New Roman"/>
          <w:sz w:val="24"/>
          <w:szCs w:val="24"/>
        </w:rPr>
        <w:t>Perubahan Kedua Undang-undang Kekuasaan Kehakiman Nomor 4 Tahun 2004</w:t>
      </w:r>
    </w:p>
    <w:p w:rsidR="00773BD0" w:rsidRPr="00FE4A23" w:rsidRDefault="00773BD0" w:rsidP="00FE4A23">
      <w:pPr>
        <w:spacing w:after="120" w:line="240" w:lineRule="auto"/>
        <w:ind w:left="567" w:hanging="567"/>
        <w:jc w:val="both"/>
        <w:rPr>
          <w:rFonts w:ascii="Garamond" w:hAnsi="Garamond" w:cs="Times New Roman"/>
          <w:sz w:val="24"/>
          <w:szCs w:val="24"/>
        </w:rPr>
      </w:pPr>
      <w:hyperlink r:id="rId12" w:history="1">
        <w:r w:rsidRPr="00FE4A23">
          <w:rPr>
            <w:rStyle w:val="Hyperlink"/>
            <w:rFonts w:ascii="Garamond" w:hAnsi="Garamond"/>
            <w:sz w:val="24"/>
            <w:szCs w:val="24"/>
          </w:rPr>
          <w:t>https://www.pn.padang.go.id</w:t>
        </w:r>
      </w:hyperlink>
    </w:p>
    <w:p w:rsidR="00446081" w:rsidRPr="00FE4A23" w:rsidRDefault="00446081"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pPr>
    </w:p>
    <w:p w:rsidR="00F74115" w:rsidRPr="00FE4A23" w:rsidRDefault="00F74115" w:rsidP="00FE4A23">
      <w:pPr>
        <w:spacing w:after="0" w:line="240" w:lineRule="auto"/>
        <w:jc w:val="both"/>
        <w:rPr>
          <w:rFonts w:ascii="Garamond" w:hAnsi="Garamond" w:cs="Times New Roman"/>
          <w:b/>
          <w:sz w:val="24"/>
          <w:szCs w:val="24"/>
        </w:rPr>
        <w:sectPr w:rsidR="00F74115" w:rsidRPr="00FE4A23" w:rsidSect="00FE4A23">
          <w:type w:val="continuous"/>
          <w:pgSz w:w="12240" w:h="15840"/>
          <w:pgMar w:top="1440" w:right="1080" w:bottom="1440" w:left="1080" w:header="720" w:footer="720" w:gutter="0"/>
          <w:cols w:space="578"/>
          <w:titlePg/>
          <w:docGrid w:linePitch="360"/>
        </w:sectPr>
      </w:pPr>
    </w:p>
    <w:p w:rsidR="00292009" w:rsidRPr="00FE4A23" w:rsidRDefault="00292009" w:rsidP="00FE4A23">
      <w:pPr>
        <w:spacing w:after="0" w:line="240" w:lineRule="auto"/>
        <w:jc w:val="both"/>
        <w:rPr>
          <w:rFonts w:ascii="Garamond" w:hAnsi="Garamond" w:cs="Times New Roman"/>
          <w:b/>
          <w:bCs/>
          <w:i/>
          <w:iCs/>
          <w:sz w:val="24"/>
          <w:szCs w:val="24"/>
        </w:rPr>
      </w:pPr>
    </w:p>
    <w:sectPr w:rsidR="00292009" w:rsidRPr="00FE4A23" w:rsidSect="00FE4A2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A6" w:rsidRDefault="00F360A6" w:rsidP="0085695B">
      <w:pPr>
        <w:spacing w:after="0" w:line="240" w:lineRule="auto"/>
      </w:pPr>
      <w:r>
        <w:separator/>
      </w:r>
    </w:p>
  </w:endnote>
  <w:endnote w:type="continuationSeparator" w:id="0">
    <w:p w:rsidR="00F360A6" w:rsidRDefault="00F360A6" w:rsidP="0085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notTrueType/>
    <w:pitch w:val="variable"/>
  </w:font>
  <w:font w:name="HQPB1">
    <w:panose1 w:val="00000000000000000000"/>
    <w:charset w:val="02"/>
    <w:family w:val="auto"/>
    <w:notTrueType/>
    <w:pitch w:val="variable"/>
  </w:font>
  <w:font w:name="HQPB5">
    <w:panose1 w:val="00000000000000000000"/>
    <w:charset w:val="02"/>
    <w:family w:val="auto"/>
    <w:notTrueType/>
    <w:pitch w:val="variable"/>
  </w:font>
  <w:font w:name="HQPB2">
    <w:panose1 w:val="00000000000000000000"/>
    <w:charset w:val="02"/>
    <w:family w:val="auto"/>
    <w:notTrueType/>
    <w:pitch w:val="variable"/>
  </w:font>
  <w:font w:name="HQPB3">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5D" w:rsidRDefault="00227E5D" w:rsidP="004F24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5D" w:rsidRDefault="00227E5D" w:rsidP="004F24AB">
    <w:pPr>
      <w:pStyle w:val="Footer"/>
      <w:jc w:val="center"/>
    </w:pPr>
    <w:r>
      <w:fldChar w:fldCharType="begin"/>
    </w:r>
    <w:r>
      <w:instrText xml:space="preserve"> PAGE   \* MERGEFORMAT </w:instrText>
    </w:r>
    <w:r>
      <w:fldChar w:fldCharType="separate"/>
    </w:r>
    <w:r w:rsidR="008C547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A6" w:rsidRDefault="00F360A6" w:rsidP="0085695B">
      <w:pPr>
        <w:spacing w:after="0" w:line="240" w:lineRule="auto"/>
      </w:pPr>
      <w:r>
        <w:separator/>
      </w:r>
    </w:p>
  </w:footnote>
  <w:footnote w:type="continuationSeparator" w:id="0">
    <w:p w:rsidR="00F360A6" w:rsidRDefault="00F360A6" w:rsidP="0085695B">
      <w:pPr>
        <w:spacing w:after="0" w:line="240" w:lineRule="auto"/>
      </w:pPr>
      <w:r>
        <w:continuationSeparator/>
      </w:r>
    </w:p>
  </w:footnote>
  <w:footnote w:id="1">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Sudikno Mertokusumo mendefinisikan hukum perdata dengan </w:t>
      </w:r>
      <w:r w:rsidRPr="00F868B0">
        <w:rPr>
          <w:rFonts w:ascii="Garamond" w:hAnsi="Garamond" w:cs="Times New Roman"/>
          <w:i/>
          <w:iCs/>
        </w:rPr>
        <w:t>“hukum perorangan yang mengatur hak dan kewajiban orang perorangan yang satu terhadap yang lain di dalam hubungan kekeluargaan dan di dalam pergaulan masyarakat. Pelaksanaannya diserahkan kepada masing-masing pihak”</w:t>
      </w:r>
      <w:r w:rsidRPr="00F868B0">
        <w:rPr>
          <w:rFonts w:ascii="Garamond" w:hAnsi="Garamond" w:cs="Times New Roman"/>
        </w:rPr>
        <w:t xml:space="preserve">. Lihat Sudikno Mertokusumo, </w:t>
      </w:r>
      <w:r w:rsidRPr="00F868B0">
        <w:rPr>
          <w:rFonts w:ascii="Garamond" w:hAnsi="Garamond" w:cs="Times New Roman"/>
          <w:i/>
          <w:iCs/>
        </w:rPr>
        <w:t>Mengenal Hukum: Suatu Pengantar</w:t>
      </w:r>
      <w:r w:rsidRPr="00F868B0">
        <w:rPr>
          <w:rFonts w:ascii="Garamond" w:hAnsi="Garamond" w:cs="Times New Roman"/>
        </w:rPr>
        <w:t>, (Yogyakarta: Liberty, 1996), h. 108</w:t>
      </w:r>
    </w:p>
  </w:footnote>
  <w:footnote w:id="2">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KUH Perdata disebut juga dengan </w:t>
      </w:r>
      <w:r w:rsidRPr="00F868B0">
        <w:rPr>
          <w:rFonts w:ascii="Garamond" w:hAnsi="Garamond" w:cs="Times New Roman"/>
          <w:i/>
          <w:iCs/>
        </w:rPr>
        <w:t xml:space="preserve">Burgerlijk Wetboek </w:t>
      </w:r>
      <w:r w:rsidRPr="00F868B0">
        <w:rPr>
          <w:rFonts w:ascii="Garamond" w:hAnsi="Garamond" w:cs="Times New Roman"/>
        </w:rPr>
        <w:t xml:space="preserve">(BW), merupakan produk pemerintah Hindia Belanda yang berlaku di Indonesia berdasarkan atas asas konkordansi, yaitu asas yang menyatakan bahwa hukum yang berlaku di Indonesia sama dengan ketentuan hukum yang berlaku di negeri Belanda. KUH Perdata terdiri dari empat buku. Buku I tentang Hukum Orang, Buku II tentang Hukum Benda, Buku III tentang Perikatan, dan Buku IV tentang Pembuktian dan Daluwarsa. Hingga saat ini Indonesia masih belum memiliki KUH Perdata sendiri. Meskipun demikian, terdapat beberapa ketentuan di dalam KUH Perdata atau BW tersebut yang telah dicabut dan atau diganti karena sudah adanya produk undang-undang milik pemerintah Indonesia, seperti tentang perkawinan. Lihat Salim HS., </w:t>
      </w:r>
      <w:r w:rsidRPr="00F868B0">
        <w:rPr>
          <w:rFonts w:ascii="Garamond" w:hAnsi="Garamond" w:cs="Times New Roman"/>
          <w:i/>
          <w:iCs/>
        </w:rPr>
        <w:t>Pengantar Hukum Perdata Tertulis (BW)</w:t>
      </w:r>
      <w:r w:rsidRPr="00F868B0">
        <w:rPr>
          <w:rFonts w:ascii="Garamond" w:hAnsi="Garamond" w:cs="Times New Roman"/>
        </w:rPr>
        <w:t>, (Jakarta: Sinar Grafika, 2005), Cet-3., h. 3-4</w:t>
      </w:r>
    </w:p>
  </w:footnote>
  <w:footnote w:id="3">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Wasiat dalam literatur </w:t>
      </w:r>
      <w:r w:rsidRPr="00F868B0">
        <w:rPr>
          <w:rFonts w:ascii="Garamond" w:hAnsi="Garamond" w:cs="Times New Roman"/>
          <w:i/>
          <w:iCs/>
        </w:rPr>
        <w:t>fiqh</w:t>
      </w:r>
      <w:r w:rsidRPr="00F868B0">
        <w:rPr>
          <w:rFonts w:ascii="Garamond" w:hAnsi="Garamond" w:cs="Times New Roman"/>
        </w:rPr>
        <w:t xml:space="preserve"> diartikan oleh ulama, antara lain yang dikemukakan oleh Syeikh Sayyid Sabiq, yaitu </w:t>
      </w:r>
      <w:r w:rsidRPr="00F868B0">
        <w:rPr>
          <w:rFonts w:ascii="Garamond" w:hAnsi="Garamond" w:cs="Times New Roman"/>
          <w:i/>
          <w:iCs/>
        </w:rPr>
        <w:t>“penyerahan kuasa secara khusus kepada seseorang yang berlaku setelah kematian”</w:t>
      </w:r>
      <w:r w:rsidRPr="00F868B0">
        <w:rPr>
          <w:rFonts w:ascii="Garamond" w:hAnsi="Garamond" w:cs="Times New Roman"/>
        </w:rPr>
        <w:t xml:space="preserve">. Lihat Syaikh Sayyid Sābiq, </w:t>
      </w:r>
      <w:r w:rsidRPr="00F868B0">
        <w:rPr>
          <w:rFonts w:ascii="Garamond" w:hAnsi="Garamond" w:cs="Times New Roman"/>
          <w:i/>
          <w:iCs/>
        </w:rPr>
        <w:t>Fiqh al-Sunnah</w:t>
      </w:r>
      <w:r w:rsidRPr="00F868B0">
        <w:rPr>
          <w:rFonts w:ascii="Garamond" w:hAnsi="Garamond" w:cs="Times New Roman"/>
        </w:rPr>
        <w:t xml:space="preserve">, Juz III, (Beirut: Dār al-Fikr, 2007), h. 1000. Adapun dalam KHI, wasiat diartikan sebagai </w:t>
      </w:r>
      <w:r w:rsidRPr="00F868B0">
        <w:rPr>
          <w:rFonts w:ascii="Garamond" w:hAnsi="Garamond" w:cs="Times New Roman"/>
          <w:i/>
          <w:iCs/>
        </w:rPr>
        <w:t>“pemberian suatu benda dari pewaris kepada orang lain atau lembaga yang akan berlaku setelah pewaris meninggal dunia”</w:t>
      </w:r>
      <w:r w:rsidRPr="00F868B0">
        <w:rPr>
          <w:rFonts w:ascii="Garamond" w:hAnsi="Garamond" w:cs="Times New Roman"/>
        </w:rPr>
        <w:t xml:space="preserve">. Lihat Pasal 171 huruf f KHI. Sedangkan dalam KUH Perdata, wasiat adalah </w:t>
      </w:r>
      <w:r w:rsidRPr="00F868B0">
        <w:rPr>
          <w:rFonts w:ascii="Garamond" w:hAnsi="Garamond" w:cs="Times New Roman"/>
          <w:i/>
          <w:iCs/>
        </w:rPr>
        <w:t>“sebuah akta berisi pernyataan seseorang tentang apa yang dikehendakinya terjadi setelah ia meninggal, yang dapat dicabut kembali olehnya”</w:t>
      </w:r>
      <w:r w:rsidRPr="00F868B0">
        <w:rPr>
          <w:rFonts w:ascii="Garamond" w:hAnsi="Garamond" w:cs="Times New Roman"/>
        </w:rPr>
        <w:t>. Lihat ketentuan Pasal 875 KUH Perdata</w:t>
      </w:r>
    </w:p>
  </w:footnote>
  <w:footnote w:id="4">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Dalam istilah </w:t>
      </w:r>
      <w:r w:rsidRPr="00F868B0">
        <w:rPr>
          <w:rFonts w:ascii="Garamond" w:hAnsi="Garamond" w:cs="Times New Roman"/>
          <w:i/>
          <w:iCs/>
        </w:rPr>
        <w:t>fiqh</w:t>
      </w:r>
      <w:r w:rsidRPr="00F868B0">
        <w:rPr>
          <w:rFonts w:ascii="Garamond" w:hAnsi="Garamond" w:cs="Times New Roman"/>
        </w:rPr>
        <w:t xml:space="preserve"> disebut juga dengan “</w:t>
      </w:r>
      <w:r w:rsidRPr="00F868B0">
        <w:rPr>
          <w:rFonts w:ascii="Garamond" w:hAnsi="Garamond" w:cs="Times New Roman"/>
          <w:i/>
          <w:iCs/>
        </w:rPr>
        <w:t>al-faraidh</w:t>
      </w:r>
      <w:r w:rsidRPr="00F868B0">
        <w:rPr>
          <w:rFonts w:ascii="Garamond" w:hAnsi="Garamond" w:cs="Times New Roman"/>
        </w:rPr>
        <w:t xml:space="preserve">”, yaitu </w:t>
      </w:r>
      <w:r w:rsidRPr="00F868B0">
        <w:rPr>
          <w:rFonts w:ascii="Garamond" w:hAnsi="Garamond" w:cs="Times New Roman"/>
          <w:i/>
          <w:iCs/>
        </w:rPr>
        <w:t>“suatu yang telah ditetapkan bagiannya dengan jelas”</w:t>
      </w:r>
      <w:r w:rsidRPr="00F868B0">
        <w:rPr>
          <w:rFonts w:ascii="Garamond" w:hAnsi="Garamond" w:cs="Times New Roman"/>
        </w:rPr>
        <w:t xml:space="preserve">. Lihat Jalāl al-Dīn al-Mahallī, </w:t>
      </w:r>
      <w:r w:rsidRPr="00F868B0">
        <w:rPr>
          <w:rFonts w:ascii="Garamond" w:hAnsi="Garamond" w:cs="Times New Roman"/>
          <w:i/>
          <w:iCs/>
        </w:rPr>
        <w:t>Syar</w:t>
      </w:r>
      <w:r w:rsidRPr="00F868B0">
        <w:rPr>
          <w:rFonts w:asciiTheme="majorBidi" w:hAnsiTheme="majorBidi" w:cs="Times New Roman"/>
          <w:i/>
          <w:iCs/>
        </w:rPr>
        <w:t>ḥ</w:t>
      </w:r>
      <w:r w:rsidRPr="00F868B0">
        <w:rPr>
          <w:rFonts w:ascii="Garamond" w:hAnsi="Garamond" w:cs="Times New Roman"/>
          <w:i/>
          <w:iCs/>
        </w:rPr>
        <w:t>u Minhaj al-</w:t>
      </w:r>
      <w:r w:rsidRPr="00F868B0">
        <w:rPr>
          <w:rFonts w:asciiTheme="majorBidi" w:hAnsiTheme="majorBidi" w:cs="Times New Roman"/>
          <w:i/>
          <w:iCs/>
        </w:rPr>
        <w:t>Ṭ</w:t>
      </w:r>
      <w:r w:rsidRPr="00F868B0">
        <w:rPr>
          <w:rFonts w:ascii="Garamond" w:hAnsi="Garamond" w:cs="Times New Roman"/>
          <w:i/>
          <w:iCs/>
        </w:rPr>
        <w:t>ālibīn</w:t>
      </w:r>
      <w:r w:rsidRPr="00F868B0">
        <w:rPr>
          <w:rFonts w:ascii="Garamond" w:hAnsi="Garamond" w:cs="Times New Roman"/>
        </w:rPr>
        <w:t xml:space="preserve">, Juz III, (Kairo: Dār Ihyā’ al-Kutub al-‘Arabī, tt), h. 134-135. Adapun dalam Kompilasi Hukum Islam (selanjutnya disingkat dengan KHI), kata waris dikaitan dengan “hukum kewarisan”, yaitu </w:t>
      </w:r>
      <w:r w:rsidRPr="00F868B0">
        <w:rPr>
          <w:rFonts w:ascii="Garamond" w:hAnsi="Garamond" w:cs="Times New Roman"/>
          <w:i/>
          <w:iCs/>
        </w:rPr>
        <w:t>“hukum yang mengatur tentang pemindahan hak pemilikan harta peninggalan (tirkah) pewaris, menentukan siapa-siapa yang berhak menjadi ahli waris dan berapa bagiannya masing-masing”</w:t>
      </w:r>
      <w:r w:rsidRPr="00F868B0">
        <w:rPr>
          <w:rFonts w:ascii="Garamond" w:hAnsi="Garamond" w:cs="Times New Roman"/>
        </w:rPr>
        <w:t>. Lihat Pasal 171 huruf a Buku II KHI</w:t>
      </w:r>
    </w:p>
  </w:footnote>
  <w:footnote w:id="5">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Lihat Pasal 50 dan 51 Undang-undang Nomor 2 Tahun 1986 tentang Peradilan Umum.</w:t>
      </w:r>
    </w:p>
  </w:footnote>
  <w:footnote w:id="6">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Lihat Pasal 49 Undang-undang Nomor 7 Tahun 1989 tentang Peradilan Agama </w:t>
      </w:r>
      <w:r w:rsidRPr="00F868B0">
        <w:rPr>
          <w:rFonts w:ascii="Garamond" w:hAnsi="Garamond" w:cs="Times New Roman"/>
          <w:i/>
          <w:iCs/>
        </w:rPr>
        <w:t>jo</w:t>
      </w:r>
      <w:r w:rsidRPr="00F868B0">
        <w:rPr>
          <w:rFonts w:ascii="Garamond" w:hAnsi="Garamond" w:cs="Times New Roman"/>
        </w:rPr>
        <w:t xml:space="preserve"> Pasal 49 Undang-undang Nomor 3 Tahun 2006 tentang Perubahan Undang-undang Nomor 7 Tahun 1989 tentang Peradilan Agama.</w:t>
      </w:r>
    </w:p>
  </w:footnote>
  <w:footnote w:id="7">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Abū Abdullah Muhammad ibn Ismā’īl al-Bukhārī, </w:t>
      </w:r>
      <w:r w:rsidRPr="00F868B0">
        <w:rPr>
          <w:rFonts w:ascii="Garamond" w:hAnsi="Garamond" w:cs="Times New Roman"/>
          <w:i/>
          <w:iCs/>
        </w:rPr>
        <w:t>al-Jamī’ al-</w:t>
      </w:r>
      <w:r w:rsidRPr="00F868B0">
        <w:rPr>
          <w:rFonts w:asciiTheme="majorBidi" w:hAnsiTheme="majorBidi" w:cs="Times New Roman"/>
          <w:i/>
          <w:iCs/>
        </w:rPr>
        <w:t>Ṣ</w:t>
      </w:r>
      <w:r w:rsidRPr="00F868B0">
        <w:rPr>
          <w:rFonts w:ascii="Garamond" w:hAnsi="Garamond" w:cs="Times New Roman"/>
          <w:i/>
          <w:iCs/>
        </w:rPr>
        <w:t>a</w:t>
      </w:r>
      <w:r w:rsidRPr="00F868B0">
        <w:rPr>
          <w:rFonts w:asciiTheme="majorBidi" w:hAnsiTheme="majorBidi" w:cs="Times New Roman"/>
          <w:i/>
          <w:iCs/>
        </w:rPr>
        <w:t>ḥ</w:t>
      </w:r>
      <w:r w:rsidRPr="00F868B0">
        <w:rPr>
          <w:rFonts w:ascii="Garamond" w:hAnsi="Garamond" w:cs="Times New Roman"/>
          <w:i/>
          <w:iCs/>
        </w:rPr>
        <w:t>ī</w:t>
      </w:r>
      <w:r w:rsidRPr="00F868B0">
        <w:rPr>
          <w:rFonts w:asciiTheme="majorBidi" w:hAnsiTheme="majorBidi" w:cs="Times New Roman"/>
          <w:i/>
          <w:iCs/>
        </w:rPr>
        <w:t>ḥ</w:t>
      </w:r>
      <w:r w:rsidRPr="00F868B0">
        <w:rPr>
          <w:rFonts w:ascii="Garamond" w:hAnsi="Garamond" w:cs="Times New Roman"/>
        </w:rPr>
        <w:t>, Juz 2, (Mesir: Ma</w:t>
      </w:r>
      <w:r w:rsidRPr="00F868B0">
        <w:rPr>
          <w:rFonts w:asciiTheme="majorBidi" w:hAnsiTheme="majorBidi" w:cs="Times New Roman"/>
        </w:rPr>
        <w:t>ṭ</w:t>
      </w:r>
      <w:r w:rsidRPr="00F868B0">
        <w:rPr>
          <w:rFonts w:ascii="Garamond" w:hAnsi="Garamond" w:cs="Times New Roman"/>
        </w:rPr>
        <w:t>ba’ah al-Salafiyyah, 1403 H), h. 287</w:t>
      </w:r>
    </w:p>
  </w:footnote>
  <w:footnote w:id="8">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Penelitian hukum normatif disebut juga dengan penelitian hukum doktriner, karena dilakukan dan ditujukan hanya pada peraturan-peraturan yang tertulis. (Lihat Bambang Sunggono, </w:t>
      </w:r>
      <w:r w:rsidRPr="00F868B0">
        <w:rPr>
          <w:rFonts w:ascii="Garamond" w:hAnsi="Garamond" w:cs="Times New Roman"/>
          <w:i/>
          <w:iCs/>
        </w:rPr>
        <w:t>Metode Penelitian Hukum</w:t>
      </w:r>
      <w:r w:rsidRPr="00F868B0">
        <w:rPr>
          <w:rFonts w:ascii="Garamond" w:hAnsi="Garamond" w:cs="Times New Roman"/>
        </w:rPr>
        <w:t>, (Jakarta : Raja Grafindo Persada, 2005), h.27</w:t>
      </w:r>
    </w:p>
  </w:footnote>
  <w:footnote w:id="9">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Menurut Holsti sebagaimana yang dikutip oleh Satori dan Komariah, </w:t>
      </w:r>
      <w:r w:rsidRPr="00F868B0">
        <w:rPr>
          <w:rFonts w:ascii="Garamond" w:hAnsi="Garamond" w:cs="Times New Roman"/>
          <w:i/>
          <w:iCs/>
        </w:rPr>
        <w:t>content analysis</w:t>
      </w:r>
      <w:r w:rsidRPr="00F868B0">
        <w:rPr>
          <w:rFonts w:ascii="Garamond" w:hAnsi="Garamond" w:cs="Times New Roman"/>
        </w:rPr>
        <w:t xml:space="preserve"> atau analisis isi adalah suatu metode yang digunakan untuk menarik kesimpulan penelitian melalui usaha menemukan karakteristik pesan dan dilakukan secara objektif dan sistematis. Lihat Djam’an Satori dan Aan Komariah, </w:t>
      </w:r>
      <w:r w:rsidRPr="00F868B0">
        <w:rPr>
          <w:rFonts w:ascii="Garamond" w:hAnsi="Garamond" w:cs="Times New Roman"/>
          <w:i/>
          <w:iCs/>
        </w:rPr>
        <w:t>Metodologi Penelitian Kualitatif</w:t>
      </w:r>
      <w:r w:rsidRPr="00F868B0">
        <w:rPr>
          <w:rFonts w:ascii="Garamond" w:hAnsi="Garamond" w:cs="Times New Roman"/>
        </w:rPr>
        <w:t>, (Bandung: Alfabeta, 2009), h. 157</w:t>
      </w:r>
    </w:p>
  </w:footnote>
  <w:footnote w:id="10">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Lihat ketentuan pasal 957 KUH Perdata</w:t>
      </w:r>
    </w:p>
  </w:footnote>
  <w:footnote w:id="11">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Ahmad Warson Munawwir, </w:t>
      </w:r>
      <w:r w:rsidRPr="00F868B0">
        <w:rPr>
          <w:rFonts w:ascii="Garamond" w:hAnsi="Garamond" w:cs="Times New Roman"/>
          <w:i/>
          <w:iCs/>
        </w:rPr>
        <w:t>Kamus Arab-Indonesia</w:t>
      </w:r>
      <w:r w:rsidRPr="00F868B0">
        <w:rPr>
          <w:rFonts w:ascii="Garamond" w:hAnsi="Garamond" w:cs="Times New Roman"/>
        </w:rPr>
        <w:t>, (Surabaya: Pustaka Progressif, 1997), ed-2, cet-14, h. 1563</w:t>
      </w:r>
    </w:p>
  </w:footnote>
  <w:footnote w:id="12">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Hitungan ini berdasarkan pencarian dengan asal kata wasiat, yaitu “</w:t>
      </w:r>
      <w:r w:rsidRPr="00F868B0">
        <w:rPr>
          <w:rFonts w:ascii="Garamond" w:hAnsi="Garamond" w:cs="Times New Roman"/>
          <w:i/>
          <w:iCs/>
        </w:rPr>
        <w:t>wa</w:t>
      </w:r>
      <w:r w:rsidRPr="00F868B0">
        <w:rPr>
          <w:rFonts w:asciiTheme="majorBidi" w:hAnsiTheme="majorBidi" w:cs="Times New Roman"/>
          <w:i/>
          <w:iCs/>
        </w:rPr>
        <w:t>ṣ</w:t>
      </w:r>
      <w:r w:rsidRPr="00F868B0">
        <w:rPr>
          <w:rFonts w:ascii="Garamond" w:hAnsi="Garamond" w:cs="Times New Roman"/>
          <w:i/>
          <w:iCs/>
        </w:rPr>
        <w:t>a</w:t>
      </w:r>
      <w:r w:rsidRPr="00F868B0">
        <w:rPr>
          <w:rFonts w:ascii="Garamond" w:hAnsi="Garamond" w:cs="Times New Roman"/>
        </w:rPr>
        <w:t>”. Adapun jumlah kata “wasiat” (</w:t>
      </w:r>
      <w:r w:rsidRPr="00F868B0">
        <w:rPr>
          <w:rFonts w:ascii="Garamond" w:hAnsi="Garamond" w:cs="Times New Roman"/>
          <w:i/>
          <w:iCs/>
        </w:rPr>
        <w:t>ma</w:t>
      </w:r>
      <w:r w:rsidRPr="00F868B0">
        <w:rPr>
          <w:rFonts w:asciiTheme="majorBidi" w:hAnsiTheme="majorBidi" w:cs="Times New Roman"/>
          <w:i/>
          <w:iCs/>
        </w:rPr>
        <w:t>ṣ</w:t>
      </w:r>
      <w:r w:rsidRPr="00F868B0">
        <w:rPr>
          <w:rFonts w:ascii="Garamond" w:hAnsi="Garamond" w:cs="Times New Roman"/>
          <w:i/>
          <w:iCs/>
        </w:rPr>
        <w:t>dar</w:t>
      </w:r>
      <w:r w:rsidRPr="00F868B0">
        <w:rPr>
          <w:rFonts w:ascii="Garamond" w:hAnsi="Garamond" w:cs="Times New Roman"/>
        </w:rPr>
        <w:t xml:space="preserve"> dari kata “</w:t>
      </w:r>
      <w:r w:rsidRPr="00F868B0">
        <w:rPr>
          <w:rFonts w:ascii="Garamond" w:hAnsi="Garamond" w:cs="Times New Roman"/>
          <w:i/>
          <w:iCs/>
        </w:rPr>
        <w:t>wa</w:t>
      </w:r>
      <w:r w:rsidRPr="00F868B0">
        <w:rPr>
          <w:rFonts w:asciiTheme="majorBidi" w:hAnsiTheme="majorBidi" w:cs="Times New Roman"/>
          <w:i/>
          <w:iCs/>
        </w:rPr>
        <w:t>ṣ</w:t>
      </w:r>
      <w:r w:rsidRPr="00F868B0">
        <w:rPr>
          <w:rFonts w:ascii="Garamond" w:hAnsi="Garamond" w:cs="Times New Roman"/>
          <w:i/>
          <w:iCs/>
        </w:rPr>
        <w:t>a</w:t>
      </w:r>
      <w:r w:rsidRPr="00F868B0">
        <w:rPr>
          <w:rFonts w:ascii="Garamond" w:hAnsi="Garamond" w:cs="Times New Roman"/>
        </w:rPr>
        <w:t xml:space="preserve">”) itu sendiri di dalam al-Qur’an disebutkan sebanyak 8 kali, yaitu pada surat al-Baqarah 2 kali, pada surat al-Nisā’ 5 kali, dan pada surat al-Māidah 1 kali. Lihat Muhammad Fuād ‘Abd al-Bāqī, </w:t>
      </w:r>
      <w:r w:rsidRPr="00F868B0">
        <w:rPr>
          <w:rFonts w:ascii="Garamond" w:hAnsi="Garamond" w:cs="Times New Roman"/>
          <w:i/>
          <w:iCs/>
        </w:rPr>
        <w:t>Mu’jam al-Mufahras li al-alfā</w:t>
      </w:r>
      <w:r w:rsidRPr="00F868B0">
        <w:rPr>
          <w:rFonts w:asciiTheme="majorBidi" w:hAnsiTheme="majorBidi" w:cs="Times New Roman"/>
          <w:i/>
          <w:iCs/>
        </w:rPr>
        <w:t>ẓ</w:t>
      </w:r>
      <w:r w:rsidRPr="00F868B0">
        <w:rPr>
          <w:rFonts w:ascii="Garamond" w:hAnsi="Garamond" w:cs="Times New Roman"/>
          <w:i/>
          <w:iCs/>
        </w:rPr>
        <w:t xml:space="preserve"> al-Qur’ān al-Karīm</w:t>
      </w:r>
      <w:r w:rsidRPr="00F868B0">
        <w:rPr>
          <w:rFonts w:ascii="Garamond" w:hAnsi="Garamond" w:cs="Times New Roman"/>
        </w:rPr>
        <w:t>, (Mesir: Ma</w:t>
      </w:r>
      <w:r w:rsidRPr="00F868B0">
        <w:rPr>
          <w:rFonts w:asciiTheme="majorBidi" w:hAnsiTheme="majorBidi" w:cs="Times New Roman"/>
        </w:rPr>
        <w:t>ṭ</w:t>
      </w:r>
      <w:r w:rsidRPr="00F868B0">
        <w:rPr>
          <w:rFonts w:ascii="Garamond" w:hAnsi="Garamond" w:cs="Times New Roman"/>
        </w:rPr>
        <w:t>ba’ah Dār al-Kutub al-Mi</w:t>
      </w:r>
      <w:r w:rsidRPr="00F868B0">
        <w:rPr>
          <w:rFonts w:asciiTheme="majorBidi" w:hAnsiTheme="majorBidi" w:cs="Times New Roman"/>
        </w:rPr>
        <w:t>ṣ</w:t>
      </w:r>
      <w:r w:rsidRPr="00F868B0">
        <w:rPr>
          <w:rFonts w:ascii="Garamond" w:hAnsi="Garamond" w:cs="Times New Roman"/>
        </w:rPr>
        <w:t>riyyah, 1364 H), h. 752</w:t>
      </w:r>
    </w:p>
  </w:footnote>
  <w:footnote w:id="13">
    <w:p w:rsidR="00227E5D" w:rsidRPr="00F868B0" w:rsidRDefault="00227E5D" w:rsidP="00F868B0">
      <w:pPr>
        <w:pStyle w:val="FootnoteText"/>
        <w:ind w:firstLine="567"/>
        <w:jc w:val="both"/>
        <w:rPr>
          <w:rFonts w:ascii="Garamond" w:hAnsi="Garamond" w:cs="Times New Roman"/>
        </w:rPr>
      </w:pPr>
      <w:r w:rsidRPr="00F868B0">
        <w:rPr>
          <w:rStyle w:val="FootnoteReference"/>
          <w:rFonts w:ascii="Garamond" w:hAnsi="Garamond"/>
        </w:rPr>
        <w:footnoteRef/>
      </w:r>
      <w:r w:rsidRPr="00F868B0">
        <w:rPr>
          <w:rFonts w:ascii="Garamond" w:hAnsi="Garamond" w:cs="Times New Roman"/>
        </w:rPr>
        <w:t xml:space="preserve"> Wasiat dalam arti memerintahkan terdapat dalam surat al-Nisā’ ayat 131, sebagai berikut:</w:t>
      </w:r>
    </w:p>
    <w:p w:rsidR="00227E5D" w:rsidRPr="00F868B0" w:rsidRDefault="00227E5D" w:rsidP="00F868B0">
      <w:pPr>
        <w:pStyle w:val="FootnoteText"/>
        <w:bidi/>
        <w:jc w:val="both"/>
        <w:rPr>
          <w:rFonts w:ascii="Garamond" w:hAnsi="Garamond" w:cs="Times New Roman"/>
          <w:rtl/>
        </w:rPr>
      </w:pPr>
      <w:r w:rsidRPr="00F868B0">
        <w:rPr>
          <w:rFonts w:ascii="Garamond" w:hAnsi="Garamond" w:cs="Times New Roman"/>
        </w:rPr>
        <w:sym w:font="HQPB4" w:char="F0F4"/>
      </w:r>
      <w:r w:rsidRPr="00F868B0">
        <w:rPr>
          <w:rFonts w:ascii="Garamond" w:hAnsi="Garamond" w:cs="Times New Roman"/>
        </w:rPr>
        <w:sym w:font="HQPB1" w:char="F089"/>
      </w:r>
      <w:r w:rsidRPr="00F868B0">
        <w:rPr>
          <w:rFonts w:ascii="Garamond" w:hAnsi="Garamond" w:cs="Times New Roman"/>
        </w:rPr>
        <w:sym w:font="HQPB5" w:char="F073"/>
      </w:r>
      <w:r w:rsidRPr="00F868B0">
        <w:rPr>
          <w:rFonts w:ascii="Garamond" w:hAnsi="Garamond" w:cs="Times New Roman"/>
        </w:rPr>
        <w:sym w:font="HQPB2" w:char="F029"/>
      </w:r>
      <w:r w:rsidRPr="00F868B0">
        <w:rPr>
          <w:rFonts w:ascii="Garamond" w:hAnsi="Garamond" w:cs="Times New Roman"/>
        </w:rPr>
        <w:sym w:font="HQPB5" w:char="F073"/>
      </w:r>
      <w:r w:rsidRPr="00F868B0">
        <w:rPr>
          <w:rFonts w:ascii="Garamond" w:hAnsi="Garamond" w:cs="Times New Roman"/>
        </w:rPr>
        <w:sym w:font="HQPB2" w:char="F039"/>
      </w:r>
      <w:r w:rsidRPr="00F868B0">
        <w:rPr>
          <w:rFonts w:ascii="Garamond" w:hAnsi="Garamond" w:cs="Times New Roman"/>
        </w:rPr>
        <w:sym w:font="HQPB5" w:char="F075"/>
      </w:r>
      <w:r w:rsidRPr="00F868B0">
        <w:rPr>
          <w:rFonts w:ascii="Garamond" w:hAnsi="Garamond" w:cs="Times New Roman"/>
        </w:rPr>
        <w:sym w:font="HQPB2" w:char="F072"/>
      </w:r>
      <w:r w:rsidRPr="00F868B0">
        <w:rPr>
          <w:rFonts w:ascii="Garamond" w:hAnsi="Garamond" w:cs="Times New Roman"/>
        </w:rPr>
        <w:t xml:space="preserve"> ...</w:t>
      </w:r>
      <w:r w:rsidRPr="00F868B0">
        <w:rPr>
          <w:rFonts w:ascii="Garamond" w:hAnsi="Garamond" w:cs="Times New Roman"/>
          <w:rtl/>
        </w:rPr>
        <w:t xml:space="preserve"> </w:t>
      </w:r>
      <w:r w:rsidRPr="00F868B0">
        <w:rPr>
          <w:rFonts w:ascii="Garamond" w:hAnsi="Garamond" w:cs="Times New Roman"/>
          <w:b/>
          <w:bCs/>
        </w:rPr>
        <w:sym w:font="HQPB1" w:char="F024"/>
      </w:r>
      <w:r w:rsidRPr="00F868B0">
        <w:rPr>
          <w:rFonts w:ascii="Garamond" w:hAnsi="Garamond" w:cs="Times New Roman"/>
          <w:b/>
          <w:bCs/>
        </w:rPr>
        <w:sym w:font="HQPB5" w:char="F075"/>
      </w:r>
      <w:r w:rsidRPr="00F868B0">
        <w:rPr>
          <w:rFonts w:ascii="Garamond" w:hAnsi="Garamond" w:cs="Times New Roman"/>
          <w:b/>
          <w:bCs/>
        </w:rPr>
        <w:sym w:font="HQPB2" w:char="F05A"/>
      </w:r>
      <w:r w:rsidRPr="00F868B0">
        <w:rPr>
          <w:rFonts w:ascii="Garamond" w:hAnsi="Garamond" w:cs="Times New Roman"/>
          <w:b/>
          <w:bCs/>
        </w:rPr>
        <w:sym w:font="HQPB4" w:char="F0F8"/>
      </w:r>
      <w:r w:rsidRPr="00F868B0">
        <w:rPr>
          <w:rFonts w:ascii="Garamond" w:hAnsi="Garamond" w:cs="Times New Roman"/>
          <w:b/>
          <w:bCs/>
        </w:rPr>
        <w:sym w:font="HQPB2" w:char="F08A"/>
      </w:r>
      <w:r w:rsidRPr="00F868B0">
        <w:rPr>
          <w:rFonts w:ascii="Garamond" w:hAnsi="Garamond" w:cs="Times New Roman"/>
          <w:b/>
          <w:bCs/>
        </w:rPr>
        <w:sym w:font="HQPB4" w:char="F0A2"/>
      </w:r>
      <w:r w:rsidRPr="00F868B0">
        <w:rPr>
          <w:rFonts w:ascii="Garamond" w:hAnsi="Garamond" w:cs="Times New Roman"/>
          <w:b/>
          <w:bCs/>
        </w:rPr>
        <w:sym w:font="HQPB1" w:char="F0B9"/>
      </w:r>
      <w:r w:rsidRPr="00F868B0">
        <w:rPr>
          <w:rFonts w:ascii="Garamond" w:hAnsi="Garamond" w:cs="Times New Roman"/>
          <w:b/>
          <w:bCs/>
        </w:rPr>
        <w:sym w:font="HQPB5" w:char="F075"/>
      </w:r>
      <w:r w:rsidRPr="00F868B0">
        <w:rPr>
          <w:rFonts w:ascii="Garamond" w:hAnsi="Garamond" w:cs="Times New Roman"/>
          <w:b/>
          <w:bCs/>
        </w:rPr>
        <w:sym w:font="HQPB2" w:char="F072"/>
      </w:r>
      <w:r w:rsidRPr="00F868B0">
        <w:rPr>
          <w:rFonts w:ascii="Garamond" w:hAnsi="Garamond" w:cs="Times New Roman"/>
          <w:rtl/>
        </w:rPr>
        <w:t xml:space="preserve"> </w:t>
      </w:r>
      <w:r w:rsidRPr="00F868B0">
        <w:rPr>
          <w:rFonts w:ascii="Garamond" w:hAnsi="Garamond" w:cs="Times New Roman"/>
        </w:rPr>
        <w:sym w:font="HQPB5" w:char="F074"/>
      </w:r>
      <w:r w:rsidRPr="00F868B0">
        <w:rPr>
          <w:rFonts w:ascii="Garamond" w:hAnsi="Garamond" w:cs="Times New Roman"/>
        </w:rPr>
        <w:sym w:font="HQPB2" w:char="F0FB"/>
      </w:r>
      <w:r w:rsidRPr="00F868B0">
        <w:rPr>
          <w:rFonts w:ascii="Garamond" w:hAnsi="Garamond" w:cs="Times New Roman"/>
        </w:rPr>
        <w:sym w:font="HQPB2" w:char="F0EF"/>
      </w:r>
      <w:r w:rsidRPr="00F868B0">
        <w:rPr>
          <w:rFonts w:ascii="Garamond" w:hAnsi="Garamond" w:cs="Times New Roman"/>
        </w:rPr>
        <w:sym w:font="HQPB4" w:char="F0CF"/>
      </w:r>
      <w:r w:rsidRPr="00F868B0">
        <w:rPr>
          <w:rFonts w:ascii="Garamond" w:hAnsi="Garamond" w:cs="Times New Roman"/>
        </w:rPr>
        <w:sym w:font="HQPB3" w:char="F025"/>
      </w:r>
      <w:r w:rsidRPr="00F868B0">
        <w:rPr>
          <w:rFonts w:ascii="Garamond" w:hAnsi="Garamond" w:cs="Times New Roman"/>
        </w:rPr>
        <w:sym w:font="HQPB4" w:char="F0A9"/>
      </w:r>
      <w:r w:rsidRPr="00F868B0">
        <w:rPr>
          <w:rFonts w:ascii="Garamond" w:hAnsi="Garamond" w:cs="Times New Roman"/>
        </w:rPr>
        <w:sym w:font="HQPB3" w:char="F021"/>
      </w:r>
      <w:r w:rsidRPr="00F868B0">
        <w:rPr>
          <w:rFonts w:ascii="Garamond" w:hAnsi="Garamond" w:cs="Times New Roman"/>
        </w:rPr>
        <w:sym w:font="HQPB5" w:char="F024"/>
      </w:r>
      <w:r w:rsidRPr="00F868B0">
        <w:rPr>
          <w:rFonts w:ascii="Garamond" w:hAnsi="Garamond" w:cs="Times New Roman"/>
        </w:rPr>
        <w:sym w:font="HQPB1" w:char="F023"/>
      </w:r>
      <w:r w:rsidRPr="00F868B0">
        <w:rPr>
          <w:rFonts w:ascii="Garamond" w:hAnsi="Garamond" w:cs="Times New Roman"/>
          <w:rtl/>
        </w:rPr>
        <w:t xml:space="preserve"> </w:t>
      </w:r>
      <w:r w:rsidRPr="00F868B0">
        <w:rPr>
          <w:rFonts w:ascii="Garamond" w:hAnsi="Garamond" w:cs="Times New Roman"/>
        </w:rPr>
        <w:sym w:font="HQPB5" w:char="F028"/>
      </w:r>
      <w:r w:rsidRPr="00F868B0">
        <w:rPr>
          <w:rFonts w:ascii="Garamond" w:hAnsi="Garamond" w:cs="Times New Roman"/>
        </w:rPr>
        <w:sym w:font="HQPB1" w:char="F023"/>
      </w:r>
      <w:r w:rsidRPr="00F868B0">
        <w:rPr>
          <w:rFonts w:ascii="Garamond" w:hAnsi="Garamond" w:cs="Times New Roman"/>
        </w:rPr>
        <w:sym w:font="HQPB2" w:char="F071"/>
      </w:r>
      <w:r w:rsidRPr="00F868B0">
        <w:rPr>
          <w:rFonts w:ascii="Garamond" w:hAnsi="Garamond" w:cs="Times New Roman"/>
        </w:rPr>
        <w:sym w:font="HQPB4" w:char="F0E8"/>
      </w:r>
      <w:r w:rsidRPr="00F868B0">
        <w:rPr>
          <w:rFonts w:ascii="Garamond" w:hAnsi="Garamond" w:cs="Times New Roman"/>
        </w:rPr>
        <w:sym w:font="HQPB1" w:char="F03F"/>
      </w:r>
      <w:r w:rsidRPr="00F868B0">
        <w:rPr>
          <w:rFonts w:ascii="Garamond" w:hAnsi="Garamond" w:cs="Times New Roman"/>
        </w:rPr>
        <w:sym w:font="HQPB2" w:char="F072"/>
      </w:r>
      <w:r w:rsidRPr="00F868B0">
        <w:rPr>
          <w:rFonts w:ascii="Garamond" w:hAnsi="Garamond" w:cs="Times New Roman"/>
        </w:rPr>
        <w:sym w:font="HQPB4" w:char="F0E9"/>
      </w:r>
      <w:r w:rsidRPr="00F868B0">
        <w:rPr>
          <w:rFonts w:ascii="Garamond" w:hAnsi="Garamond" w:cs="Times New Roman"/>
        </w:rPr>
        <w:sym w:font="HQPB1" w:char="F026"/>
      </w:r>
      <w:r w:rsidRPr="00F868B0">
        <w:rPr>
          <w:rFonts w:ascii="Garamond" w:hAnsi="Garamond" w:cs="Times New Roman"/>
          <w:rtl/>
        </w:rPr>
        <w:t xml:space="preserve"> </w:t>
      </w:r>
      <w:r w:rsidRPr="00F868B0">
        <w:rPr>
          <w:rFonts w:ascii="Garamond" w:hAnsi="Garamond" w:cs="Times New Roman"/>
        </w:rPr>
        <w:sym w:font="HQPB5" w:char="F07C"/>
      </w:r>
      <w:r w:rsidRPr="00F868B0">
        <w:rPr>
          <w:rFonts w:ascii="Garamond" w:hAnsi="Garamond" w:cs="Times New Roman"/>
        </w:rPr>
        <w:sym w:font="HQPB1" w:char="F03D"/>
      </w:r>
      <w:r w:rsidRPr="00F868B0">
        <w:rPr>
          <w:rFonts w:ascii="Garamond" w:hAnsi="Garamond" w:cs="Times New Roman"/>
        </w:rPr>
        <w:sym w:font="HQPB2" w:char="F0BB"/>
      </w:r>
      <w:r w:rsidRPr="00F868B0">
        <w:rPr>
          <w:rFonts w:ascii="Garamond" w:hAnsi="Garamond" w:cs="Times New Roman"/>
        </w:rPr>
        <w:sym w:font="HQPB5" w:char="F074"/>
      </w:r>
      <w:r w:rsidRPr="00F868B0">
        <w:rPr>
          <w:rFonts w:ascii="Garamond" w:hAnsi="Garamond" w:cs="Times New Roman"/>
        </w:rPr>
        <w:sym w:font="HQPB1" w:char="F047"/>
      </w:r>
      <w:r w:rsidRPr="00F868B0">
        <w:rPr>
          <w:rFonts w:ascii="Garamond" w:hAnsi="Garamond" w:cs="Times New Roman"/>
        </w:rPr>
        <w:sym w:font="HQPB4" w:char="F0C5"/>
      </w:r>
      <w:r w:rsidRPr="00F868B0">
        <w:rPr>
          <w:rFonts w:ascii="Garamond" w:hAnsi="Garamond" w:cs="Times New Roman"/>
        </w:rPr>
        <w:sym w:font="HQPB2" w:char="F033"/>
      </w:r>
      <w:r w:rsidRPr="00F868B0">
        <w:rPr>
          <w:rFonts w:ascii="Garamond" w:hAnsi="Garamond" w:cs="Times New Roman"/>
        </w:rPr>
        <w:sym w:font="HQPB4" w:char="F0F8"/>
      </w:r>
      <w:r w:rsidRPr="00F868B0">
        <w:rPr>
          <w:rFonts w:ascii="Garamond" w:hAnsi="Garamond" w:cs="Times New Roman"/>
        </w:rPr>
        <w:sym w:font="HQPB2" w:char="F039"/>
      </w:r>
      <w:r w:rsidRPr="00F868B0">
        <w:rPr>
          <w:rFonts w:ascii="Garamond" w:hAnsi="Garamond" w:cs="Times New Roman"/>
        </w:rPr>
        <w:sym w:font="HQPB5" w:char="F024"/>
      </w:r>
      <w:r w:rsidRPr="00F868B0">
        <w:rPr>
          <w:rFonts w:ascii="Garamond" w:hAnsi="Garamond" w:cs="Times New Roman"/>
        </w:rPr>
        <w:sym w:font="HQPB1" w:char="F023"/>
      </w:r>
      <w:r w:rsidRPr="00F868B0">
        <w:rPr>
          <w:rFonts w:ascii="Garamond" w:hAnsi="Garamond" w:cs="Times New Roman"/>
          <w:rtl/>
        </w:rPr>
        <w:t xml:space="preserve"> </w:t>
      </w:r>
      <w:r w:rsidRPr="00F868B0">
        <w:rPr>
          <w:rFonts w:ascii="Garamond" w:hAnsi="Garamond" w:cs="Times New Roman"/>
        </w:rPr>
        <w:sym w:font="HQPB2" w:char="F060"/>
      </w:r>
      <w:r w:rsidRPr="00F868B0">
        <w:rPr>
          <w:rFonts w:ascii="Garamond" w:hAnsi="Garamond" w:cs="Times New Roman"/>
        </w:rPr>
        <w:sym w:font="HQPB4" w:char="F0CF"/>
      </w:r>
      <w:r w:rsidRPr="00F868B0">
        <w:rPr>
          <w:rFonts w:ascii="Garamond" w:hAnsi="Garamond" w:cs="Times New Roman"/>
        </w:rPr>
        <w:sym w:font="HQPB2" w:char="F042"/>
      </w:r>
      <w:r w:rsidRPr="00F868B0">
        <w:rPr>
          <w:rFonts w:ascii="Garamond" w:hAnsi="Garamond" w:cs="Times New Roman"/>
          <w:rtl/>
        </w:rPr>
        <w:t xml:space="preserve"> </w:t>
      </w:r>
      <w:r w:rsidRPr="00F868B0">
        <w:rPr>
          <w:rFonts w:ascii="Garamond" w:hAnsi="Garamond" w:cs="Times New Roman"/>
        </w:rPr>
        <w:sym w:font="HQPB4" w:char="F0F6"/>
      </w:r>
      <w:r w:rsidRPr="00F868B0">
        <w:rPr>
          <w:rFonts w:ascii="Garamond" w:hAnsi="Garamond" w:cs="Times New Roman"/>
        </w:rPr>
        <w:sym w:font="HQPB2" w:char="F04E"/>
      </w:r>
      <w:r w:rsidRPr="00F868B0">
        <w:rPr>
          <w:rFonts w:ascii="Garamond" w:hAnsi="Garamond" w:cs="Times New Roman"/>
        </w:rPr>
        <w:sym w:font="HQPB4" w:char="F0E0"/>
      </w:r>
      <w:r w:rsidRPr="00F868B0">
        <w:rPr>
          <w:rFonts w:ascii="Garamond" w:hAnsi="Garamond" w:cs="Times New Roman"/>
        </w:rPr>
        <w:sym w:font="HQPB2" w:char="F036"/>
      </w:r>
      <w:r w:rsidRPr="00F868B0">
        <w:rPr>
          <w:rFonts w:ascii="Garamond" w:hAnsi="Garamond" w:cs="Times New Roman"/>
        </w:rPr>
        <w:sym w:font="HQPB4" w:char="F0CE"/>
      </w:r>
      <w:r w:rsidRPr="00F868B0">
        <w:rPr>
          <w:rFonts w:ascii="Garamond" w:hAnsi="Garamond" w:cs="Times New Roman"/>
        </w:rPr>
        <w:sym w:font="HQPB2" w:char="F03D"/>
      </w:r>
      <w:r w:rsidRPr="00F868B0">
        <w:rPr>
          <w:rFonts w:ascii="Garamond" w:hAnsi="Garamond" w:cs="Times New Roman"/>
        </w:rPr>
        <w:sym w:font="HQPB4" w:char="F0F6"/>
      </w:r>
      <w:r w:rsidRPr="00F868B0">
        <w:rPr>
          <w:rFonts w:ascii="Garamond" w:hAnsi="Garamond" w:cs="Times New Roman"/>
        </w:rPr>
        <w:sym w:font="HQPB1" w:char="F036"/>
      </w:r>
      <w:r w:rsidRPr="00F868B0">
        <w:rPr>
          <w:rFonts w:ascii="Garamond" w:hAnsi="Garamond" w:cs="Times New Roman"/>
        </w:rPr>
        <w:sym w:font="HQPB5" w:char="F073"/>
      </w:r>
      <w:r w:rsidRPr="00F868B0">
        <w:rPr>
          <w:rFonts w:ascii="Garamond" w:hAnsi="Garamond" w:cs="Times New Roman"/>
        </w:rPr>
        <w:sym w:font="HQPB2" w:char="F025"/>
      </w:r>
      <w:r w:rsidRPr="00F868B0">
        <w:rPr>
          <w:rFonts w:ascii="Garamond" w:hAnsi="Garamond" w:cs="Times New Roman"/>
          <w:rtl/>
        </w:rPr>
        <w:t xml:space="preserve"> </w:t>
      </w:r>
      <w:r w:rsidRPr="00F868B0">
        <w:rPr>
          <w:rFonts w:ascii="Garamond" w:hAnsi="Garamond" w:cs="Times New Roman"/>
        </w:rPr>
        <w:t>...</w:t>
      </w:r>
      <w:r w:rsidRPr="00F868B0">
        <w:rPr>
          <w:rFonts w:ascii="Garamond" w:hAnsi="Garamond" w:cs="Times New Roman"/>
          <w:rtl/>
        </w:rPr>
        <w:t xml:space="preserve"> </w:t>
      </w:r>
      <w:r w:rsidRPr="00F868B0">
        <w:rPr>
          <w:rFonts w:ascii="Garamond" w:hAnsi="Garamond" w:cs="Times New Roman"/>
        </w:rPr>
        <w:sym w:font="HQPB2" w:char="F0C7"/>
      </w:r>
      <w:r w:rsidRPr="00F868B0">
        <w:rPr>
          <w:rFonts w:ascii="Garamond" w:hAnsi="Garamond" w:cs="Times New Roman"/>
        </w:rPr>
        <w:sym w:font="HQPB2" w:char="F0CA"/>
      </w:r>
      <w:r w:rsidRPr="00F868B0">
        <w:rPr>
          <w:rFonts w:ascii="Garamond" w:hAnsi="Garamond" w:cs="Times New Roman"/>
        </w:rPr>
        <w:sym w:font="HQPB2" w:char="F0CC"/>
      </w:r>
      <w:r w:rsidRPr="00F868B0">
        <w:rPr>
          <w:rFonts w:ascii="Garamond" w:hAnsi="Garamond" w:cs="Times New Roman"/>
        </w:rPr>
        <w:sym w:font="HQPB2" w:char="F0CA"/>
      </w:r>
      <w:r w:rsidRPr="00F868B0">
        <w:rPr>
          <w:rFonts w:ascii="Garamond" w:hAnsi="Garamond" w:cs="Times New Roman"/>
        </w:rPr>
        <w:sym w:font="HQPB2" w:char="F0C8"/>
      </w:r>
      <w:r w:rsidRPr="00F868B0">
        <w:rPr>
          <w:rFonts w:ascii="Garamond" w:hAnsi="Garamond" w:cs="Times New Roman"/>
          <w:rtl/>
        </w:rPr>
        <w:t xml:space="preserve"> </w:t>
      </w:r>
    </w:p>
    <w:p w:rsidR="00000000" w:rsidRDefault="00227E5D" w:rsidP="00F868B0">
      <w:pPr>
        <w:pStyle w:val="FootnoteText"/>
        <w:jc w:val="both"/>
      </w:pPr>
      <w:r w:rsidRPr="00F868B0">
        <w:rPr>
          <w:rFonts w:ascii="Garamond" w:hAnsi="Garamond" w:cs="Times New Roman"/>
        </w:rPr>
        <w:t xml:space="preserve">Artinya: </w:t>
      </w:r>
      <w:r w:rsidRPr="00F868B0">
        <w:rPr>
          <w:rFonts w:ascii="Garamond" w:hAnsi="Garamond" w:cs="Times New Roman"/>
          <w:i/>
          <w:iCs/>
        </w:rPr>
        <w:t xml:space="preserve">“… dan sungguh kami telah </w:t>
      </w:r>
      <w:r w:rsidRPr="00F868B0">
        <w:rPr>
          <w:rFonts w:ascii="Garamond" w:hAnsi="Garamond" w:cs="Times New Roman"/>
          <w:b/>
          <w:bCs/>
          <w:i/>
          <w:iCs/>
        </w:rPr>
        <w:t>memerintahkan</w:t>
      </w:r>
      <w:r w:rsidRPr="00F868B0">
        <w:rPr>
          <w:rFonts w:ascii="Garamond" w:hAnsi="Garamond" w:cs="Times New Roman"/>
          <w:i/>
          <w:iCs/>
        </w:rPr>
        <w:t xml:space="preserve"> kepada orang-orang yang diberi Kitab sebelum kamu...”</w:t>
      </w:r>
    </w:p>
  </w:footnote>
  <w:footnote w:id="14">
    <w:p w:rsidR="00227E5D" w:rsidRPr="00F868B0" w:rsidRDefault="00227E5D" w:rsidP="00F868B0">
      <w:pPr>
        <w:pStyle w:val="FootnoteText"/>
        <w:spacing w:before="40"/>
        <w:ind w:firstLine="567"/>
        <w:jc w:val="both"/>
        <w:rPr>
          <w:rFonts w:ascii="Garamond" w:hAnsi="Garamond" w:cs="Times New Roman"/>
        </w:rPr>
      </w:pPr>
      <w:r w:rsidRPr="00F868B0">
        <w:rPr>
          <w:rStyle w:val="FootnoteReference"/>
          <w:rFonts w:ascii="Garamond" w:hAnsi="Garamond"/>
        </w:rPr>
        <w:footnoteRef/>
      </w:r>
      <w:r w:rsidRPr="00F868B0">
        <w:rPr>
          <w:rFonts w:ascii="Garamond" w:hAnsi="Garamond" w:cs="Times New Roman"/>
        </w:rPr>
        <w:t xml:space="preserve">  Arti ini terdapat dalam surat al-‘Ankabūt ayat 8, sebagai berikut:</w:t>
      </w:r>
    </w:p>
    <w:p w:rsidR="00227E5D" w:rsidRPr="00F868B0" w:rsidRDefault="00227E5D" w:rsidP="00F868B0">
      <w:pPr>
        <w:pStyle w:val="FootnoteText"/>
        <w:bidi/>
        <w:jc w:val="both"/>
        <w:rPr>
          <w:rFonts w:ascii="Garamond" w:hAnsi="Garamond" w:cs="Traditional Arabic"/>
          <w:rtl/>
        </w:rPr>
      </w:pPr>
      <w:r w:rsidRPr="00F868B0">
        <w:rPr>
          <w:rFonts w:ascii="Garamond" w:hAnsi="Garamond" w:cs="Traditional Arabic"/>
          <w:b/>
          <w:bCs/>
        </w:rPr>
        <w:sym w:font="HQPB1" w:char="F024"/>
      </w:r>
      <w:r w:rsidRPr="00F868B0">
        <w:rPr>
          <w:rFonts w:ascii="Garamond" w:hAnsi="Garamond" w:cs="Traditional Arabic"/>
          <w:b/>
          <w:bCs/>
        </w:rPr>
        <w:sym w:font="HQPB5" w:char="F075"/>
      </w:r>
      <w:r w:rsidRPr="00F868B0">
        <w:rPr>
          <w:rFonts w:ascii="Garamond" w:hAnsi="Garamond" w:cs="Traditional Arabic"/>
          <w:b/>
          <w:bCs/>
        </w:rPr>
        <w:sym w:font="HQPB2" w:char="F05A"/>
      </w:r>
      <w:r w:rsidRPr="00F868B0">
        <w:rPr>
          <w:rFonts w:ascii="Garamond" w:hAnsi="Garamond" w:cs="Traditional Arabic"/>
          <w:b/>
          <w:bCs/>
        </w:rPr>
        <w:sym w:font="HQPB4" w:char="F0F8"/>
      </w:r>
      <w:r w:rsidRPr="00F868B0">
        <w:rPr>
          <w:rFonts w:ascii="Garamond" w:hAnsi="Garamond" w:cs="Traditional Arabic"/>
          <w:b/>
          <w:bCs/>
        </w:rPr>
        <w:sym w:font="HQPB2" w:char="F08A"/>
      </w:r>
      <w:r w:rsidRPr="00F868B0">
        <w:rPr>
          <w:rFonts w:ascii="Garamond" w:hAnsi="Garamond" w:cs="Traditional Arabic"/>
          <w:b/>
          <w:bCs/>
        </w:rPr>
        <w:sym w:font="HQPB4" w:char="F0A2"/>
      </w:r>
      <w:r w:rsidRPr="00F868B0">
        <w:rPr>
          <w:rFonts w:ascii="Garamond" w:hAnsi="Garamond" w:cs="Traditional Arabic"/>
          <w:b/>
          <w:bCs/>
        </w:rPr>
        <w:sym w:font="HQPB1" w:char="F0B9"/>
      </w:r>
      <w:r w:rsidRPr="00F868B0">
        <w:rPr>
          <w:rFonts w:ascii="Garamond" w:hAnsi="Garamond" w:cs="Traditional Arabic"/>
          <w:b/>
          <w:bCs/>
        </w:rPr>
        <w:sym w:font="HQPB5" w:char="F075"/>
      </w:r>
      <w:r w:rsidRPr="00F868B0">
        <w:rPr>
          <w:rFonts w:ascii="Garamond" w:hAnsi="Garamond" w:cs="Traditional Arabic"/>
          <w:b/>
          <w:bCs/>
        </w:rPr>
        <w:sym w:font="HQPB2" w:char="F072"/>
      </w:r>
      <w:r w:rsidRPr="00F868B0">
        <w:rPr>
          <w:rFonts w:ascii="Garamond" w:hAnsi="Garamond" w:cs="Traditional Arabic"/>
          <w:b/>
          <w:bCs/>
        </w:rPr>
        <w:sym w:font="HQPB5" w:char="F075"/>
      </w:r>
      <w:r w:rsidRPr="00F868B0">
        <w:rPr>
          <w:rFonts w:ascii="Garamond" w:hAnsi="Garamond" w:cs="Traditional Arabic"/>
        </w:rPr>
        <w:sym w:font="HQPB2" w:char="F072"/>
      </w:r>
      <w:r w:rsidRPr="00F868B0">
        <w:rPr>
          <w:rFonts w:ascii="Garamond" w:hAnsi="Garamond" w:cs="Traditional Arabic"/>
          <w:rtl/>
        </w:rPr>
        <w:t xml:space="preserve"> </w:t>
      </w:r>
      <w:r w:rsidRPr="00F868B0">
        <w:rPr>
          <w:rFonts w:ascii="Garamond" w:hAnsi="Garamond" w:cs="Traditional Arabic"/>
        </w:rPr>
        <w:sym w:font="HQPB5" w:char="F07A"/>
      </w:r>
      <w:r w:rsidRPr="00F868B0">
        <w:rPr>
          <w:rFonts w:ascii="Garamond" w:hAnsi="Garamond" w:cs="Traditional Arabic"/>
        </w:rPr>
        <w:sym w:font="HQPB2" w:char="F060"/>
      </w:r>
      <w:r w:rsidRPr="00F868B0">
        <w:rPr>
          <w:rFonts w:ascii="Garamond" w:hAnsi="Garamond" w:cs="Traditional Arabic"/>
        </w:rPr>
        <w:sym w:font="HQPB2" w:char="F0BB"/>
      </w:r>
      <w:r w:rsidRPr="00F868B0">
        <w:rPr>
          <w:rFonts w:ascii="Garamond" w:hAnsi="Garamond" w:cs="Traditional Arabic"/>
        </w:rPr>
        <w:sym w:font="HQPB5" w:char="F07C"/>
      </w:r>
      <w:r w:rsidRPr="00F868B0">
        <w:rPr>
          <w:rFonts w:ascii="Garamond" w:hAnsi="Garamond" w:cs="Traditional Arabic"/>
        </w:rPr>
        <w:sym w:font="HQPB1" w:char="F0A1"/>
      </w:r>
      <w:r w:rsidRPr="00F868B0">
        <w:rPr>
          <w:rFonts w:ascii="Garamond" w:hAnsi="Garamond" w:cs="Traditional Arabic"/>
        </w:rPr>
        <w:sym w:font="HQPB2" w:char="F053"/>
      </w:r>
      <w:r w:rsidRPr="00F868B0">
        <w:rPr>
          <w:rFonts w:ascii="Garamond" w:hAnsi="Garamond" w:cs="Traditional Arabic"/>
        </w:rPr>
        <w:sym w:font="HQPB5" w:char="F04D"/>
      </w:r>
      <w:r w:rsidRPr="00F868B0">
        <w:rPr>
          <w:rFonts w:ascii="Garamond" w:hAnsi="Garamond" w:cs="Traditional Arabic"/>
        </w:rPr>
        <w:sym w:font="HQPB2" w:char="F07D"/>
      </w:r>
      <w:r w:rsidRPr="00F868B0">
        <w:rPr>
          <w:rFonts w:ascii="Garamond" w:hAnsi="Garamond" w:cs="Traditional Arabic"/>
        </w:rPr>
        <w:sym w:font="HQPB5" w:char="F024"/>
      </w:r>
      <w:r w:rsidRPr="00F868B0">
        <w:rPr>
          <w:rFonts w:ascii="Garamond" w:hAnsi="Garamond" w:cs="Traditional Arabic"/>
        </w:rPr>
        <w:sym w:font="HQPB1" w:char="F023"/>
      </w:r>
      <w:r w:rsidRPr="00F868B0">
        <w:rPr>
          <w:rFonts w:ascii="Garamond" w:hAnsi="Garamond" w:cs="Traditional Arabic"/>
          <w:rtl/>
        </w:rPr>
        <w:t xml:space="preserve"> </w:t>
      </w:r>
      <w:r w:rsidRPr="00F868B0">
        <w:rPr>
          <w:rFonts w:ascii="Garamond" w:hAnsi="Garamond" w:cs="Traditional Arabic"/>
        </w:rPr>
        <w:sym w:font="HQPB4" w:char="F0CF"/>
      </w:r>
      <w:r w:rsidRPr="00F868B0">
        <w:rPr>
          <w:rFonts w:ascii="Garamond" w:hAnsi="Garamond" w:cs="Traditional Arabic"/>
        </w:rPr>
        <w:sym w:font="HQPB2" w:char="F06D"/>
      </w:r>
      <w:r w:rsidRPr="00F868B0">
        <w:rPr>
          <w:rFonts w:ascii="Garamond" w:hAnsi="Garamond" w:cs="Traditional Arabic"/>
        </w:rPr>
        <w:sym w:font="HQPB4" w:char="F0F7"/>
      </w:r>
      <w:r w:rsidRPr="00F868B0">
        <w:rPr>
          <w:rFonts w:ascii="Garamond" w:hAnsi="Garamond" w:cs="Traditional Arabic"/>
        </w:rPr>
        <w:sym w:font="HQPB2" w:char="F083"/>
      </w:r>
      <w:r w:rsidRPr="00F868B0">
        <w:rPr>
          <w:rFonts w:ascii="Garamond" w:hAnsi="Garamond" w:cs="Traditional Arabic"/>
        </w:rPr>
        <w:sym w:font="HQPB5" w:char="F079"/>
      </w:r>
      <w:r w:rsidRPr="00F868B0">
        <w:rPr>
          <w:rFonts w:ascii="Garamond" w:hAnsi="Garamond" w:cs="Traditional Arabic"/>
        </w:rPr>
        <w:sym w:font="HQPB1" w:char="F089"/>
      </w:r>
      <w:r w:rsidRPr="00F868B0">
        <w:rPr>
          <w:rFonts w:ascii="Garamond" w:hAnsi="Garamond" w:cs="Traditional Arabic"/>
        </w:rPr>
        <w:sym w:font="HQPB4" w:char="F0CF"/>
      </w:r>
      <w:r w:rsidRPr="00F868B0">
        <w:rPr>
          <w:rFonts w:ascii="Garamond" w:hAnsi="Garamond" w:cs="Traditional Arabic"/>
        </w:rPr>
        <w:sym w:font="HQPB2" w:char="F039"/>
      </w:r>
      <w:r w:rsidRPr="00F868B0">
        <w:rPr>
          <w:rFonts w:ascii="Garamond" w:hAnsi="Garamond" w:cs="Traditional Arabic"/>
        </w:rPr>
        <w:sym w:font="HQPB2" w:char="F0BA"/>
      </w:r>
      <w:r w:rsidRPr="00F868B0">
        <w:rPr>
          <w:rFonts w:ascii="Garamond" w:hAnsi="Garamond" w:cs="Traditional Arabic"/>
        </w:rPr>
        <w:sym w:font="HQPB5" w:char="F075"/>
      </w:r>
      <w:r w:rsidRPr="00F868B0">
        <w:rPr>
          <w:rFonts w:ascii="Garamond" w:hAnsi="Garamond" w:cs="Traditional Arabic"/>
        </w:rPr>
        <w:sym w:font="HQPB2" w:char="F071"/>
      </w:r>
      <w:r w:rsidRPr="00F868B0">
        <w:rPr>
          <w:rFonts w:ascii="Garamond" w:hAnsi="Garamond" w:cs="Traditional Arabic"/>
        </w:rPr>
        <w:sym w:font="HQPB4" w:char="F0CE"/>
      </w:r>
      <w:r w:rsidRPr="00F868B0">
        <w:rPr>
          <w:rFonts w:ascii="Garamond" w:hAnsi="Garamond" w:cs="Traditional Arabic"/>
        </w:rPr>
        <w:sym w:font="HQPB1" w:char="F02F"/>
      </w:r>
      <w:r w:rsidRPr="00F868B0">
        <w:rPr>
          <w:rFonts w:ascii="Garamond" w:hAnsi="Garamond" w:cs="Traditional Arabic"/>
          <w:rtl/>
        </w:rPr>
        <w:t xml:space="preserve"> </w:t>
      </w:r>
      <w:r w:rsidRPr="00F868B0">
        <w:rPr>
          <w:rFonts w:ascii="Garamond" w:hAnsi="Garamond" w:cs="Traditional Arabic"/>
        </w:rPr>
        <w:sym w:font="HQPB1" w:char="F024"/>
      </w:r>
      <w:r w:rsidRPr="00F868B0">
        <w:rPr>
          <w:rFonts w:ascii="Garamond" w:hAnsi="Garamond" w:cs="Traditional Arabic"/>
        </w:rPr>
        <w:sym w:font="HQPB4" w:char="F059"/>
      </w:r>
      <w:r w:rsidRPr="00F868B0">
        <w:rPr>
          <w:rFonts w:ascii="Garamond" w:hAnsi="Garamond" w:cs="Traditional Arabic"/>
        </w:rPr>
        <w:sym w:font="HQPB2" w:char="F05A"/>
      </w:r>
      <w:r w:rsidRPr="00F868B0">
        <w:rPr>
          <w:rFonts w:ascii="Garamond" w:hAnsi="Garamond" w:cs="Traditional Arabic"/>
        </w:rPr>
        <w:sym w:font="HQPB4" w:char="F0F3"/>
      </w:r>
      <w:r w:rsidRPr="00F868B0">
        <w:rPr>
          <w:rFonts w:ascii="Garamond" w:hAnsi="Garamond" w:cs="Traditional Arabic"/>
        </w:rPr>
        <w:sym w:font="HQPB1" w:char="F0A1"/>
      </w:r>
      <w:r w:rsidRPr="00F868B0">
        <w:rPr>
          <w:rFonts w:ascii="Garamond" w:hAnsi="Garamond" w:cs="Traditional Arabic"/>
        </w:rPr>
        <w:sym w:font="HQPB4" w:char="F0E3"/>
      </w:r>
      <w:r w:rsidRPr="00F868B0">
        <w:rPr>
          <w:rFonts w:ascii="Garamond" w:hAnsi="Garamond" w:cs="Traditional Arabic"/>
        </w:rPr>
        <w:sym w:font="HQPB1" w:char="F06D"/>
      </w:r>
      <w:r w:rsidRPr="00F868B0">
        <w:rPr>
          <w:rFonts w:ascii="Garamond" w:hAnsi="Garamond" w:cs="Traditional Arabic"/>
          <w:rtl/>
        </w:rPr>
        <w:t xml:space="preserve"> </w:t>
      </w:r>
      <w:r w:rsidRPr="00F868B0">
        <w:rPr>
          <w:rFonts w:ascii="Garamond" w:hAnsi="Garamond" w:cs="Traditional Arabic"/>
        </w:rPr>
        <w:sym w:font="HQPB2" w:char="F0C7"/>
      </w:r>
      <w:r w:rsidRPr="00F868B0">
        <w:rPr>
          <w:rFonts w:ascii="Garamond" w:hAnsi="Garamond" w:cs="Traditional Arabic"/>
        </w:rPr>
        <w:sym w:font="HQPB2" w:char="F0D1"/>
      </w:r>
      <w:r w:rsidRPr="00F868B0">
        <w:rPr>
          <w:rFonts w:ascii="Garamond" w:hAnsi="Garamond" w:cs="Traditional Arabic"/>
        </w:rPr>
        <w:sym w:font="HQPB2" w:char="F0C8"/>
      </w:r>
      <w:r w:rsidRPr="00F868B0">
        <w:rPr>
          <w:rFonts w:ascii="Garamond" w:hAnsi="Garamond" w:cs="Traditional Arabic"/>
        </w:rPr>
        <w:t xml:space="preserve">... </w:t>
      </w:r>
    </w:p>
    <w:p w:rsidR="00000000" w:rsidRDefault="00227E5D" w:rsidP="00F868B0">
      <w:pPr>
        <w:pStyle w:val="FootnoteText"/>
        <w:jc w:val="both"/>
      </w:pPr>
      <w:r w:rsidRPr="00F868B0">
        <w:rPr>
          <w:rFonts w:ascii="Garamond" w:hAnsi="Garamond" w:cs="Times New Roman"/>
        </w:rPr>
        <w:t xml:space="preserve">Artinya: </w:t>
      </w:r>
      <w:r w:rsidRPr="00F868B0">
        <w:rPr>
          <w:rFonts w:ascii="Garamond" w:hAnsi="Garamond" w:cs="Times New Roman"/>
          <w:i/>
          <w:iCs/>
        </w:rPr>
        <w:t xml:space="preserve">“Dan kami </w:t>
      </w:r>
      <w:r w:rsidRPr="00F868B0">
        <w:rPr>
          <w:rFonts w:ascii="Garamond" w:hAnsi="Garamond" w:cs="Times New Roman"/>
          <w:b/>
          <w:bCs/>
          <w:i/>
          <w:iCs/>
        </w:rPr>
        <w:t>wajibkan</w:t>
      </w:r>
      <w:r w:rsidRPr="00F868B0">
        <w:rPr>
          <w:rFonts w:ascii="Garamond" w:hAnsi="Garamond" w:cs="Times New Roman"/>
          <w:i/>
          <w:iCs/>
        </w:rPr>
        <w:t xml:space="preserve"> manusia (berbuat) kebaikan kepada dua orang ibu-bapaknya...”</w:t>
      </w:r>
    </w:p>
  </w:footnote>
  <w:footnote w:id="15">
    <w:p w:rsidR="00227E5D" w:rsidRPr="00F868B0" w:rsidRDefault="00227E5D" w:rsidP="00F868B0">
      <w:pPr>
        <w:pStyle w:val="FootnoteText"/>
        <w:spacing w:before="40"/>
        <w:ind w:firstLine="567"/>
        <w:jc w:val="both"/>
        <w:rPr>
          <w:rFonts w:ascii="Garamond" w:hAnsi="Garamond" w:cs="Times New Roman"/>
        </w:rPr>
      </w:pPr>
      <w:r w:rsidRPr="00F868B0">
        <w:rPr>
          <w:rStyle w:val="FootnoteReference"/>
          <w:rFonts w:ascii="Garamond" w:hAnsi="Garamond"/>
        </w:rPr>
        <w:footnoteRef/>
      </w:r>
      <w:r w:rsidRPr="00F868B0">
        <w:rPr>
          <w:rFonts w:ascii="Garamond" w:hAnsi="Garamond" w:cs="Times New Roman"/>
        </w:rPr>
        <w:t xml:space="preserve"> Wasiat dengan artian “mensyari’atkan” terdapat dalam surat al-Nisā’ ayat 11, yaitu:</w:t>
      </w:r>
    </w:p>
    <w:p w:rsidR="00227E5D" w:rsidRPr="00F868B0" w:rsidRDefault="00227E5D" w:rsidP="00F868B0">
      <w:pPr>
        <w:pStyle w:val="FootnoteText"/>
        <w:bidi/>
        <w:jc w:val="both"/>
        <w:rPr>
          <w:rFonts w:ascii="Garamond" w:hAnsi="Garamond" w:cs="Traditional Arabic"/>
          <w:rtl/>
        </w:rPr>
      </w:pPr>
      <w:r w:rsidRPr="00F868B0">
        <w:rPr>
          <w:rFonts w:ascii="Garamond" w:hAnsi="Garamond" w:cs="Traditional Arabic"/>
        </w:rPr>
        <w:sym w:font="HQPB4" w:char="F0DE"/>
      </w:r>
      <w:r w:rsidRPr="00F868B0">
        <w:rPr>
          <w:rFonts w:ascii="Garamond" w:hAnsi="Garamond" w:cs="Traditional Arabic"/>
        </w:rPr>
        <w:sym w:font="HQPB2" w:char="F04F"/>
      </w:r>
      <w:r w:rsidRPr="00F868B0">
        <w:rPr>
          <w:rFonts w:ascii="Garamond" w:hAnsi="Garamond" w:cs="Traditional Arabic"/>
        </w:rPr>
        <w:sym w:font="HQPB4" w:char="F0E4"/>
      </w:r>
      <w:r w:rsidRPr="00F868B0">
        <w:rPr>
          <w:rFonts w:ascii="Garamond" w:hAnsi="Garamond" w:cs="Traditional Arabic"/>
        </w:rPr>
        <w:sym w:font="HQPB2" w:char="F033"/>
      </w:r>
      <w:r w:rsidRPr="00F868B0">
        <w:rPr>
          <w:rFonts w:ascii="Garamond" w:hAnsi="Garamond" w:cs="Traditional Arabic"/>
          <w:b/>
          <w:bCs/>
        </w:rPr>
        <w:sym w:font="HQPB2" w:char="F08A"/>
      </w:r>
      <w:r w:rsidRPr="00F868B0">
        <w:rPr>
          <w:rFonts w:ascii="Garamond" w:hAnsi="Garamond" w:cs="Traditional Arabic"/>
          <w:b/>
          <w:bCs/>
        </w:rPr>
        <w:sym w:font="HQPB4" w:char="F0CF"/>
      </w:r>
      <w:r w:rsidRPr="00F868B0">
        <w:rPr>
          <w:rFonts w:ascii="Garamond" w:hAnsi="Garamond" w:cs="Traditional Arabic"/>
          <w:b/>
          <w:bCs/>
        </w:rPr>
        <w:sym w:font="HQPB1" w:char="F0B9"/>
      </w:r>
      <w:r w:rsidRPr="00F868B0">
        <w:rPr>
          <w:rFonts w:ascii="Garamond" w:hAnsi="Garamond" w:cs="Traditional Arabic"/>
          <w:b/>
          <w:bCs/>
        </w:rPr>
        <w:sym w:font="HQPB2" w:char="F071"/>
      </w:r>
      <w:r w:rsidRPr="00F868B0">
        <w:rPr>
          <w:rFonts w:ascii="Garamond" w:hAnsi="Garamond" w:cs="Traditional Arabic"/>
          <w:b/>
          <w:bCs/>
        </w:rPr>
        <w:sym w:font="HQPB4" w:char="F0E3"/>
      </w:r>
      <w:r w:rsidRPr="00F868B0">
        <w:rPr>
          <w:rFonts w:ascii="Garamond" w:hAnsi="Garamond" w:cs="Traditional Arabic"/>
          <w:b/>
          <w:bCs/>
        </w:rPr>
        <w:sym w:font="HQPB2" w:char="F083"/>
      </w:r>
      <w:r w:rsidRPr="00F868B0">
        <w:rPr>
          <w:rFonts w:ascii="Garamond" w:hAnsi="Garamond" w:cs="Traditional Arabic"/>
          <w:rtl/>
        </w:rPr>
        <w:t xml:space="preserve"> </w:t>
      </w:r>
      <w:r w:rsidRPr="00F868B0">
        <w:rPr>
          <w:rFonts w:ascii="Garamond" w:hAnsi="Garamond" w:cs="Traditional Arabic"/>
        </w:rPr>
        <w:sym w:font="HQPB5" w:char="F0AA"/>
      </w:r>
      <w:r w:rsidRPr="00F868B0">
        <w:rPr>
          <w:rFonts w:ascii="Garamond" w:hAnsi="Garamond" w:cs="Traditional Arabic"/>
        </w:rPr>
        <w:sym w:font="HQPB1" w:char="F021"/>
      </w:r>
      <w:r w:rsidRPr="00F868B0">
        <w:rPr>
          <w:rFonts w:ascii="Garamond" w:hAnsi="Garamond" w:cs="Traditional Arabic"/>
        </w:rPr>
        <w:sym w:font="HQPB5" w:char="F024"/>
      </w:r>
      <w:r w:rsidRPr="00F868B0">
        <w:rPr>
          <w:rFonts w:ascii="Garamond" w:hAnsi="Garamond" w:cs="Traditional Arabic"/>
        </w:rPr>
        <w:sym w:font="HQPB1" w:char="F023"/>
      </w:r>
      <w:r w:rsidRPr="00F868B0">
        <w:rPr>
          <w:rFonts w:ascii="Garamond" w:hAnsi="Garamond" w:cs="Traditional Arabic"/>
          <w:rtl/>
        </w:rPr>
        <w:t xml:space="preserve"> </w:t>
      </w:r>
      <w:r w:rsidRPr="00F868B0">
        <w:rPr>
          <w:rFonts w:ascii="Garamond" w:hAnsi="Garamond" w:cs="Traditional Arabic"/>
        </w:rPr>
        <w:sym w:font="HQPB4" w:char="F0FE"/>
      </w:r>
      <w:r w:rsidRPr="00F868B0">
        <w:rPr>
          <w:rFonts w:ascii="Garamond" w:hAnsi="Garamond" w:cs="Traditional Arabic"/>
        </w:rPr>
        <w:sym w:font="HQPB2" w:char="F092"/>
      </w:r>
      <w:r w:rsidRPr="00F868B0">
        <w:rPr>
          <w:rFonts w:ascii="Garamond" w:hAnsi="Garamond" w:cs="Traditional Arabic"/>
        </w:rPr>
        <w:sym w:font="HQPB4" w:char="F0CE"/>
      </w:r>
      <w:r w:rsidRPr="00F868B0">
        <w:rPr>
          <w:rFonts w:ascii="Garamond" w:hAnsi="Garamond" w:cs="Traditional Arabic"/>
        </w:rPr>
        <w:sym w:font="HQPB1" w:char="F0FB"/>
      </w:r>
      <w:r w:rsidRPr="00F868B0">
        <w:rPr>
          <w:rFonts w:ascii="Garamond" w:hAnsi="Garamond" w:cs="Traditional Arabic"/>
          <w:rtl/>
        </w:rPr>
        <w:t xml:space="preserve"> </w:t>
      </w:r>
      <w:r w:rsidRPr="00F868B0">
        <w:rPr>
          <w:rFonts w:ascii="Garamond" w:hAnsi="Garamond" w:cs="Traditional Arabic"/>
        </w:rPr>
        <w:sym w:font="HQPB4" w:char="F0F6"/>
      </w:r>
      <w:r w:rsidRPr="00F868B0">
        <w:rPr>
          <w:rFonts w:ascii="Garamond" w:hAnsi="Garamond" w:cs="Traditional Arabic"/>
        </w:rPr>
        <w:sym w:font="HQPB2" w:char="F04E"/>
      </w:r>
      <w:r w:rsidRPr="00F868B0">
        <w:rPr>
          <w:rFonts w:ascii="Garamond" w:hAnsi="Garamond" w:cs="Traditional Arabic"/>
        </w:rPr>
        <w:sym w:font="HQPB4" w:char="F0E0"/>
      </w:r>
      <w:r w:rsidRPr="00F868B0">
        <w:rPr>
          <w:rFonts w:ascii="Garamond" w:hAnsi="Garamond" w:cs="Traditional Arabic"/>
        </w:rPr>
        <w:sym w:font="HQPB2" w:char="F032"/>
      </w:r>
      <w:r w:rsidRPr="00F868B0">
        <w:rPr>
          <w:rFonts w:ascii="Garamond" w:hAnsi="Garamond" w:cs="Traditional Arabic"/>
        </w:rPr>
        <w:sym w:font="HQPB4" w:char="F0CF"/>
      </w:r>
      <w:r w:rsidRPr="00F868B0">
        <w:rPr>
          <w:rFonts w:ascii="Garamond" w:hAnsi="Garamond" w:cs="Traditional Arabic"/>
        </w:rPr>
        <w:sym w:font="HQPB1" w:char="F089"/>
      </w:r>
      <w:r w:rsidRPr="00F868B0">
        <w:rPr>
          <w:rFonts w:ascii="Garamond" w:hAnsi="Garamond" w:cs="Traditional Arabic"/>
        </w:rPr>
        <w:sym w:font="HQPB2" w:char="F0BB"/>
      </w:r>
      <w:r w:rsidRPr="00F868B0">
        <w:rPr>
          <w:rFonts w:ascii="Garamond" w:hAnsi="Garamond" w:cs="Traditional Arabic"/>
        </w:rPr>
        <w:sym w:font="HQPB5" w:char="F073"/>
      </w:r>
      <w:r w:rsidRPr="00F868B0">
        <w:rPr>
          <w:rFonts w:ascii="Garamond" w:hAnsi="Garamond" w:cs="Traditional Arabic"/>
        </w:rPr>
        <w:sym w:font="HQPB2" w:char="F039"/>
      </w:r>
      <w:r w:rsidRPr="00F868B0">
        <w:rPr>
          <w:rFonts w:ascii="Garamond" w:hAnsi="Garamond" w:cs="Traditional Arabic"/>
        </w:rPr>
        <w:sym w:font="HQPB4" w:char="F0F7"/>
      </w:r>
      <w:r w:rsidRPr="00F868B0">
        <w:rPr>
          <w:rFonts w:ascii="Garamond" w:hAnsi="Garamond" w:cs="Traditional Arabic"/>
        </w:rPr>
        <w:sym w:font="HQPB2" w:char="F072"/>
      </w:r>
      <w:r w:rsidRPr="00F868B0">
        <w:rPr>
          <w:rFonts w:ascii="Garamond" w:hAnsi="Garamond" w:cs="Traditional Arabic"/>
        </w:rPr>
        <w:sym w:font="HQPB5" w:char="F072"/>
      </w:r>
      <w:r w:rsidRPr="00F868B0">
        <w:rPr>
          <w:rFonts w:ascii="Garamond" w:hAnsi="Garamond" w:cs="Traditional Arabic"/>
        </w:rPr>
        <w:sym w:font="HQPB1" w:char="F026"/>
      </w:r>
      <w:r w:rsidRPr="00F868B0">
        <w:rPr>
          <w:rFonts w:ascii="Garamond" w:hAnsi="Garamond" w:cs="Traditional Arabic"/>
          <w:rtl/>
        </w:rPr>
        <w:t xml:space="preserve"> </w:t>
      </w:r>
      <w:r w:rsidRPr="00F868B0">
        <w:rPr>
          <w:rFonts w:ascii="Garamond" w:hAnsi="Garamond" w:cs="Traditional Arabic"/>
        </w:rPr>
        <w:sym w:font="HQPB4" w:char="F028"/>
      </w:r>
      <w:r w:rsidRPr="00F868B0">
        <w:rPr>
          <w:rFonts w:ascii="Garamond" w:hAnsi="Garamond" w:cs="Traditional Arabic"/>
          <w:rtl/>
        </w:rPr>
        <w:t xml:space="preserve"> </w:t>
      </w:r>
      <w:r w:rsidRPr="00F868B0">
        <w:rPr>
          <w:rFonts w:ascii="Garamond" w:hAnsi="Garamond" w:cs="Traditional Arabic"/>
        </w:rPr>
        <w:sym w:font="HQPB4" w:char="F0CC"/>
      </w:r>
      <w:r w:rsidRPr="00F868B0">
        <w:rPr>
          <w:rFonts w:ascii="Garamond" w:hAnsi="Garamond" w:cs="Traditional Arabic"/>
        </w:rPr>
        <w:sym w:font="HQPB1" w:char="F08D"/>
      </w:r>
      <w:r w:rsidRPr="00F868B0">
        <w:rPr>
          <w:rFonts w:ascii="Garamond" w:hAnsi="Garamond" w:cs="Traditional Arabic"/>
        </w:rPr>
        <w:sym w:font="HQPB5" w:char="F078"/>
      </w:r>
      <w:r w:rsidRPr="00F868B0">
        <w:rPr>
          <w:rFonts w:ascii="Garamond" w:hAnsi="Garamond" w:cs="Traditional Arabic"/>
        </w:rPr>
        <w:sym w:font="HQPB2" w:char="F02E"/>
      </w:r>
      <w:r w:rsidRPr="00F868B0">
        <w:rPr>
          <w:rFonts w:ascii="Garamond" w:hAnsi="Garamond" w:cs="Traditional Arabic"/>
        </w:rPr>
        <w:sym w:font="HQPB4" w:char="F0A9"/>
      </w:r>
      <w:r w:rsidRPr="00F868B0">
        <w:rPr>
          <w:rFonts w:ascii="Garamond" w:hAnsi="Garamond" w:cs="Traditional Arabic"/>
        </w:rPr>
        <w:sym w:font="HQPB3" w:char="F025"/>
      </w:r>
      <w:r w:rsidRPr="00F868B0">
        <w:rPr>
          <w:rFonts w:ascii="Garamond" w:hAnsi="Garamond" w:cs="Traditional Arabic"/>
        </w:rPr>
        <w:sym w:font="HQPB3" w:char="F023"/>
      </w:r>
      <w:r w:rsidRPr="00F868B0">
        <w:rPr>
          <w:rFonts w:ascii="Garamond" w:hAnsi="Garamond" w:cs="Traditional Arabic"/>
        </w:rPr>
        <w:sym w:font="HQPB4" w:char="F0CF"/>
      </w:r>
      <w:r w:rsidRPr="00F868B0">
        <w:rPr>
          <w:rFonts w:ascii="Garamond" w:hAnsi="Garamond" w:cs="Traditional Arabic"/>
        </w:rPr>
        <w:sym w:font="HQPB2" w:char="F039"/>
      </w:r>
      <w:r w:rsidRPr="00F868B0">
        <w:rPr>
          <w:rFonts w:ascii="Garamond" w:hAnsi="Garamond" w:cs="Traditional Arabic"/>
          <w:rtl/>
        </w:rPr>
        <w:t xml:space="preserve"> </w:t>
      </w:r>
      <w:r w:rsidRPr="00F868B0">
        <w:rPr>
          <w:rFonts w:ascii="Garamond" w:hAnsi="Garamond" w:cs="Traditional Arabic"/>
        </w:rPr>
        <w:sym w:font="HQPB4" w:char="F0E3"/>
      </w:r>
      <w:r w:rsidRPr="00F868B0">
        <w:rPr>
          <w:rFonts w:ascii="Garamond" w:hAnsi="Garamond" w:cs="Traditional Arabic"/>
        </w:rPr>
        <w:sym w:font="HQPB2" w:char="F040"/>
      </w:r>
      <w:r w:rsidRPr="00F868B0">
        <w:rPr>
          <w:rFonts w:ascii="Garamond" w:hAnsi="Garamond" w:cs="Traditional Arabic"/>
        </w:rPr>
        <w:sym w:font="HQPB4" w:char="F0F7"/>
      </w:r>
      <w:r w:rsidRPr="00F868B0">
        <w:rPr>
          <w:rFonts w:ascii="Garamond" w:hAnsi="Garamond" w:cs="Traditional Arabic"/>
        </w:rPr>
        <w:sym w:font="HQPB1" w:char="F056"/>
      </w:r>
      <w:r w:rsidRPr="00F868B0">
        <w:rPr>
          <w:rFonts w:ascii="Garamond" w:hAnsi="Garamond" w:cs="Traditional Arabic"/>
        </w:rPr>
        <w:sym w:font="HQPB4" w:char="F0CF"/>
      </w:r>
      <w:r w:rsidRPr="00F868B0">
        <w:rPr>
          <w:rFonts w:ascii="Garamond" w:hAnsi="Garamond" w:cs="Traditional Arabic"/>
        </w:rPr>
        <w:sym w:font="HQPB2" w:char="F042"/>
      </w:r>
      <w:r w:rsidRPr="00F868B0">
        <w:rPr>
          <w:rFonts w:ascii="Garamond" w:hAnsi="Garamond" w:cs="Traditional Arabic"/>
          <w:rtl/>
        </w:rPr>
        <w:t xml:space="preserve"> </w:t>
      </w:r>
      <w:r w:rsidRPr="00F868B0">
        <w:rPr>
          <w:rFonts w:ascii="Garamond" w:hAnsi="Garamond" w:cs="Traditional Arabic"/>
        </w:rPr>
        <w:sym w:font="HQPB4" w:char="F0C5"/>
      </w:r>
      <w:r w:rsidRPr="00F868B0">
        <w:rPr>
          <w:rFonts w:ascii="Garamond" w:hAnsi="Garamond" w:cs="Traditional Arabic"/>
        </w:rPr>
        <w:sym w:font="HQPB4" w:char="F065"/>
      </w:r>
      <w:r w:rsidRPr="00F868B0">
        <w:rPr>
          <w:rFonts w:ascii="Garamond" w:hAnsi="Garamond" w:cs="Traditional Arabic"/>
        </w:rPr>
        <w:sym w:font="HQPB1" w:char="F0E1"/>
      </w:r>
      <w:r w:rsidRPr="00F868B0">
        <w:rPr>
          <w:rFonts w:ascii="Garamond" w:hAnsi="Garamond" w:cs="Traditional Arabic"/>
        </w:rPr>
        <w:sym w:font="HQPB5" w:char="F079"/>
      </w:r>
      <w:r w:rsidRPr="00F868B0">
        <w:rPr>
          <w:rFonts w:ascii="Garamond" w:hAnsi="Garamond" w:cs="Traditional Arabic"/>
        </w:rPr>
        <w:sym w:font="HQPB1" w:char="F06D"/>
      </w:r>
      <w:r w:rsidRPr="00F868B0">
        <w:rPr>
          <w:rFonts w:ascii="Garamond" w:hAnsi="Garamond" w:cs="Traditional Arabic"/>
          <w:rtl/>
        </w:rPr>
        <w:t xml:space="preserve"> </w:t>
      </w:r>
      <w:r w:rsidRPr="00F868B0">
        <w:rPr>
          <w:rFonts w:ascii="Garamond" w:hAnsi="Garamond" w:cs="Traditional Arabic"/>
        </w:rPr>
        <w:sym w:font="HQPB4" w:char="F0C8"/>
      </w:r>
      <w:r w:rsidRPr="00F868B0">
        <w:rPr>
          <w:rFonts w:ascii="Garamond" w:hAnsi="Garamond" w:cs="Traditional Arabic"/>
        </w:rPr>
        <w:sym w:font="HQPB2" w:char="F0FB"/>
      </w:r>
      <w:r w:rsidRPr="00F868B0">
        <w:rPr>
          <w:rFonts w:ascii="Garamond" w:hAnsi="Garamond" w:cs="Traditional Arabic"/>
        </w:rPr>
        <w:sym w:font="HQPB4" w:char="F0F7"/>
      </w:r>
      <w:r w:rsidRPr="00F868B0">
        <w:rPr>
          <w:rFonts w:ascii="Garamond" w:hAnsi="Garamond" w:cs="Traditional Arabic"/>
        </w:rPr>
        <w:sym w:font="HQPB2" w:char="F0FC"/>
      </w:r>
      <w:r w:rsidRPr="00F868B0">
        <w:rPr>
          <w:rFonts w:ascii="Garamond" w:hAnsi="Garamond" w:cs="Traditional Arabic"/>
        </w:rPr>
        <w:sym w:font="HQPB5" w:char="F075"/>
      </w:r>
      <w:r w:rsidRPr="00F868B0">
        <w:rPr>
          <w:rFonts w:ascii="Garamond" w:hAnsi="Garamond" w:cs="Traditional Arabic"/>
        </w:rPr>
        <w:sym w:font="HQPB2" w:char="F08B"/>
      </w:r>
      <w:r w:rsidRPr="00F868B0">
        <w:rPr>
          <w:rFonts w:ascii="Garamond" w:hAnsi="Garamond" w:cs="Traditional Arabic"/>
        </w:rPr>
        <w:sym w:font="HQPB5" w:char="F073"/>
      </w:r>
      <w:r w:rsidRPr="00F868B0">
        <w:rPr>
          <w:rFonts w:ascii="Garamond" w:hAnsi="Garamond" w:cs="Traditional Arabic"/>
        </w:rPr>
        <w:sym w:font="HQPB1" w:char="F056"/>
      </w:r>
      <w:r w:rsidRPr="00F868B0">
        <w:rPr>
          <w:rFonts w:ascii="Garamond" w:hAnsi="Garamond" w:cs="Traditional Arabic"/>
        </w:rPr>
        <w:sym w:font="HQPB2" w:char="F052"/>
      </w:r>
      <w:r w:rsidRPr="00F868B0">
        <w:rPr>
          <w:rFonts w:ascii="Garamond" w:hAnsi="Garamond" w:cs="Traditional Arabic"/>
        </w:rPr>
        <w:sym w:font="HQPB5" w:char="F057"/>
      </w:r>
      <w:r w:rsidRPr="00F868B0">
        <w:rPr>
          <w:rFonts w:ascii="Garamond" w:hAnsi="Garamond" w:cs="Traditional Arabic"/>
        </w:rPr>
        <w:sym w:font="HQPB2" w:char="F07B"/>
      </w:r>
      <w:r w:rsidRPr="00F868B0">
        <w:rPr>
          <w:rFonts w:ascii="Garamond" w:hAnsi="Garamond" w:cs="Traditional Arabic"/>
        </w:rPr>
        <w:sym w:font="HQPB5" w:char="F024"/>
      </w:r>
      <w:r w:rsidRPr="00F868B0">
        <w:rPr>
          <w:rFonts w:ascii="Garamond" w:hAnsi="Garamond" w:cs="Traditional Arabic"/>
        </w:rPr>
        <w:sym w:font="HQPB1" w:char="F023"/>
      </w:r>
      <w:r w:rsidRPr="00F868B0">
        <w:rPr>
          <w:rFonts w:ascii="Garamond" w:hAnsi="Garamond" w:cs="Traditional Arabic"/>
          <w:rtl/>
        </w:rPr>
        <w:t xml:space="preserve"> </w:t>
      </w:r>
      <w:r w:rsidRPr="00F868B0">
        <w:rPr>
          <w:rFonts w:ascii="Garamond" w:hAnsi="Garamond" w:cs="Traditional Arabic"/>
        </w:rPr>
        <w:t>...</w:t>
      </w:r>
      <w:r w:rsidRPr="00F868B0">
        <w:rPr>
          <w:rFonts w:ascii="Garamond" w:hAnsi="Garamond" w:cs="Traditional Arabic"/>
          <w:rtl/>
        </w:rPr>
        <w:t xml:space="preserve"> </w:t>
      </w:r>
      <w:r w:rsidRPr="00F868B0">
        <w:rPr>
          <w:rFonts w:ascii="Garamond" w:hAnsi="Garamond" w:cs="Traditional Arabic"/>
        </w:rPr>
        <w:sym w:font="HQPB2" w:char="F0C7"/>
      </w:r>
      <w:r w:rsidRPr="00F868B0">
        <w:rPr>
          <w:rFonts w:ascii="Garamond" w:hAnsi="Garamond" w:cs="Traditional Arabic"/>
        </w:rPr>
        <w:sym w:font="HQPB2" w:char="F0CA"/>
      </w:r>
      <w:r w:rsidRPr="00F868B0">
        <w:rPr>
          <w:rFonts w:ascii="Garamond" w:hAnsi="Garamond" w:cs="Traditional Arabic"/>
        </w:rPr>
        <w:sym w:font="HQPB2" w:char="F0CA"/>
      </w:r>
      <w:r w:rsidRPr="00F868B0">
        <w:rPr>
          <w:rFonts w:ascii="Garamond" w:hAnsi="Garamond" w:cs="Traditional Arabic"/>
        </w:rPr>
        <w:sym w:font="HQPB2" w:char="F0C8"/>
      </w:r>
      <w:r w:rsidRPr="00F868B0">
        <w:rPr>
          <w:rFonts w:ascii="Garamond" w:hAnsi="Garamond" w:cs="Traditional Arabic"/>
          <w:rtl/>
        </w:rPr>
        <w:t xml:space="preserve"> </w:t>
      </w:r>
    </w:p>
    <w:p w:rsidR="00000000" w:rsidRDefault="00227E5D" w:rsidP="00F868B0">
      <w:pPr>
        <w:pStyle w:val="FootnoteText"/>
        <w:jc w:val="both"/>
      </w:pPr>
      <w:r w:rsidRPr="00F868B0">
        <w:rPr>
          <w:rFonts w:ascii="Garamond" w:hAnsi="Garamond" w:cs="Times New Roman"/>
        </w:rPr>
        <w:t xml:space="preserve">Artinya: </w:t>
      </w:r>
      <w:r w:rsidRPr="00F868B0">
        <w:rPr>
          <w:rFonts w:ascii="Garamond" w:hAnsi="Garamond" w:cs="Times New Roman"/>
          <w:i/>
          <w:iCs/>
        </w:rPr>
        <w:t xml:space="preserve">“Allah </w:t>
      </w:r>
      <w:r w:rsidRPr="00F868B0">
        <w:rPr>
          <w:rFonts w:ascii="Garamond" w:hAnsi="Garamond" w:cs="Times New Roman"/>
          <w:b/>
          <w:bCs/>
          <w:i/>
          <w:iCs/>
        </w:rPr>
        <w:t>mensyari'atkan</w:t>
      </w:r>
      <w:r w:rsidRPr="00F868B0">
        <w:rPr>
          <w:rFonts w:ascii="Garamond" w:hAnsi="Garamond" w:cs="Times New Roman"/>
          <w:i/>
          <w:iCs/>
        </w:rPr>
        <w:t xml:space="preserve"> bagimu tentang (pembagian pusaka untuk) anak-anakmu, yaitu : bahagian seorang anak lelaki sama dengan bahagian dua orang anak perempuan…”</w:t>
      </w:r>
    </w:p>
  </w:footnote>
  <w:footnote w:id="16">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Abū Bakr ibn Muhammad Zain al-‘Ābidīn Sya</w:t>
      </w:r>
      <w:r w:rsidRPr="00F868B0">
        <w:rPr>
          <w:rFonts w:asciiTheme="majorBidi" w:hAnsiTheme="majorBidi" w:cs="Times New Roman"/>
        </w:rPr>
        <w:t>ṭ</w:t>
      </w:r>
      <w:r w:rsidRPr="00F868B0">
        <w:rPr>
          <w:rFonts w:ascii="Garamond" w:hAnsi="Garamond" w:cs="Times New Roman"/>
        </w:rPr>
        <w:t xml:space="preserve">ā, </w:t>
      </w:r>
      <w:r w:rsidRPr="00F868B0">
        <w:rPr>
          <w:rFonts w:ascii="Garamond" w:hAnsi="Garamond" w:cs="Times New Roman"/>
          <w:i/>
          <w:iCs/>
        </w:rPr>
        <w:t>I’ānah al-</w:t>
      </w:r>
      <w:r w:rsidRPr="00F868B0">
        <w:rPr>
          <w:rFonts w:asciiTheme="majorBidi" w:hAnsiTheme="majorBidi" w:cs="Times New Roman"/>
          <w:i/>
          <w:iCs/>
        </w:rPr>
        <w:t>Ṭ</w:t>
      </w:r>
      <w:r w:rsidRPr="00F868B0">
        <w:rPr>
          <w:rFonts w:ascii="Garamond" w:hAnsi="Garamond" w:cs="Times New Roman"/>
          <w:i/>
          <w:iCs/>
        </w:rPr>
        <w:t>ālibīn</w:t>
      </w:r>
      <w:r w:rsidRPr="00F868B0">
        <w:rPr>
          <w:rFonts w:ascii="Garamond" w:hAnsi="Garamond" w:cs="Times New Roman"/>
        </w:rPr>
        <w:t>, Juz 3, (t.tp: Dār I</w:t>
      </w:r>
      <w:r w:rsidRPr="00F868B0">
        <w:rPr>
          <w:rFonts w:asciiTheme="majorBidi" w:hAnsiTheme="majorBidi" w:cs="Times New Roman"/>
        </w:rPr>
        <w:t>ḥ</w:t>
      </w:r>
      <w:r w:rsidRPr="00F868B0">
        <w:rPr>
          <w:rFonts w:ascii="Garamond" w:hAnsi="Garamond" w:cs="Times New Roman"/>
        </w:rPr>
        <w:t>yā’ al-Kutub al-‘Arabiyyah, tt), h. 199. Lihat juga Syams al-Dīn Muhammad ibn al-Kha</w:t>
      </w:r>
      <w:r w:rsidRPr="00F868B0">
        <w:rPr>
          <w:rFonts w:asciiTheme="majorBidi" w:hAnsiTheme="majorBidi" w:cs="Times New Roman"/>
        </w:rPr>
        <w:t>ṭ</w:t>
      </w:r>
      <w:r w:rsidRPr="00F868B0">
        <w:rPr>
          <w:rFonts w:ascii="Garamond" w:hAnsi="Garamond" w:cs="Times New Roman"/>
        </w:rPr>
        <w:t xml:space="preserve">īb al-Syarbainī, </w:t>
      </w:r>
      <w:r w:rsidRPr="00F868B0">
        <w:rPr>
          <w:rFonts w:ascii="Garamond" w:hAnsi="Garamond" w:cs="Times New Roman"/>
          <w:i/>
          <w:iCs/>
        </w:rPr>
        <w:t>Mughnī al-Mu</w:t>
      </w:r>
      <w:r w:rsidRPr="00F868B0">
        <w:rPr>
          <w:rFonts w:asciiTheme="majorBidi" w:hAnsiTheme="majorBidi" w:cs="Times New Roman"/>
          <w:i/>
          <w:iCs/>
        </w:rPr>
        <w:t>ḥ</w:t>
      </w:r>
      <w:r w:rsidRPr="00F868B0">
        <w:rPr>
          <w:rFonts w:ascii="Garamond" w:hAnsi="Garamond" w:cs="Times New Roman"/>
          <w:i/>
          <w:iCs/>
        </w:rPr>
        <w:t>tāj</w:t>
      </w:r>
      <w:r w:rsidRPr="00F868B0">
        <w:rPr>
          <w:rFonts w:ascii="Garamond" w:hAnsi="Garamond" w:cs="Times New Roman"/>
        </w:rPr>
        <w:t>, Juz III, (Beirut: Dār al-Ma’rifah, 1997), h. 52. Lihat juga ‘Abd al-Ra</w:t>
      </w:r>
      <w:r w:rsidRPr="00F868B0">
        <w:rPr>
          <w:rFonts w:asciiTheme="majorBidi" w:hAnsiTheme="majorBidi" w:cs="Times New Roman"/>
        </w:rPr>
        <w:t>ḥ</w:t>
      </w:r>
      <w:r w:rsidRPr="00F868B0">
        <w:rPr>
          <w:rFonts w:ascii="Garamond" w:hAnsi="Garamond" w:cs="Times New Roman"/>
        </w:rPr>
        <w:t xml:space="preserve">mān al-Jazīrī, </w:t>
      </w:r>
      <w:r w:rsidRPr="00F868B0">
        <w:rPr>
          <w:rFonts w:ascii="Garamond" w:hAnsi="Garamond" w:cs="Times New Roman"/>
          <w:i/>
          <w:iCs/>
        </w:rPr>
        <w:t>Kitāb al-Fiqh ‘alā al-Mazāhib al-Arba’ah</w:t>
      </w:r>
      <w:r w:rsidRPr="00F868B0">
        <w:rPr>
          <w:rFonts w:ascii="Garamond" w:hAnsi="Garamond" w:cs="Times New Roman"/>
        </w:rPr>
        <w:t>, Juz III, (Beirut: Dār al-Kutub al-‘Ilmiyyah, 2002), h. 278</w:t>
      </w:r>
    </w:p>
  </w:footnote>
  <w:footnote w:id="17">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Imām ‘Alāuddīn Abī Bakr ibn Mas’ūd al-Kasānī al-Hanafī, </w:t>
      </w:r>
      <w:r w:rsidRPr="00F868B0">
        <w:rPr>
          <w:rFonts w:ascii="Garamond" w:hAnsi="Garamond" w:cs="Times New Roman"/>
          <w:i/>
          <w:iCs/>
        </w:rPr>
        <w:t>Badā’i al-</w:t>
      </w:r>
      <w:r w:rsidRPr="00F868B0">
        <w:rPr>
          <w:rFonts w:asciiTheme="majorBidi" w:hAnsiTheme="majorBidi" w:cs="Times New Roman"/>
          <w:i/>
          <w:iCs/>
        </w:rPr>
        <w:t>Ṣ</w:t>
      </w:r>
      <w:r w:rsidRPr="00F868B0">
        <w:rPr>
          <w:rFonts w:ascii="Garamond" w:hAnsi="Garamond" w:cs="Times New Roman"/>
          <w:i/>
          <w:iCs/>
        </w:rPr>
        <w:t>anāi’ fī Tartīb al-Syarāi’</w:t>
      </w:r>
      <w:r w:rsidRPr="00F868B0">
        <w:rPr>
          <w:rFonts w:ascii="Garamond" w:hAnsi="Garamond" w:cs="Times New Roman"/>
        </w:rPr>
        <w:t>, Juz X, (Beirut: Dā</w:t>
      </w:r>
      <w:r w:rsidR="00AB0833">
        <w:rPr>
          <w:rFonts w:ascii="Garamond" w:hAnsi="Garamond" w:cs="Times New Roman"/>
        </w:rPr>
        <w:t>r al-Kutub al-‘Ilmiyyah, 2002),</w:t>
      </w:r>
      <w:r w:rsidRPr="00F868B0">
        <w:rPr>
          <w:rFonts w:ascii="Garamond" w:hAnsi="Garamond" w:cs="Times New Roman"/>
        </w:rPr>
        <w:t xml:space="preserve"> h. 468. Lihat juga ‘Abd al-Ra</w:t>
      </w:r>
      <w:r w:rsidRPr="00F868B0">
        <w:rPr>
          <w:rFonts w:asciiTheme="majorBidi" w:hAnsiTheme="majorBidi" w:cs="Times New Roman"/>
        </w:rPr>
        <w:t>ḥ</w:t>
      </w:r>
      <w:r w:rsidR="00AB0833">
        <w:rPr>
          <w:rFonts w:ascii="Garamond" w:hAnsi="Garamond" w:cs="Times New Roman"/>
        </w:rPr>
        <w:t xml:space="preserve">mān al-Jazīrī, </w:t>
      </w:r>
      <w:r w:rsidR="00AB0833" w:rsidRPr="00F868B0">
        <w:rPr>
          <w:rFonts w:ascii="Garamond" w:hAnsi="Garamond" w:cs="Times New Roman"/>
          <w:i/>
          <w:iCs/>
        </w:rPr>
        <w:t>Kitāb al-Fiqh ‘alā al-Mazāhib al-Arba’ah</w:t>
      </w:r>
      <w:r w:rsidRPr="00F868B0">
        <w:rPr>
          <w:rFonts w:ascii="Garamond" w:hAnsi="Garamond" w:cs="Times New Roman"/>
        </w:rPr>
        <w:t>, h. 277</w:t>
      </w:r>
    </w:p>
  </w:footnote>
  <w:footnote w:id="18">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Abū Bakr ibn Husain al-Kasnāwī,</w:t>
      </w:r>
      <w:r w:rsidRPr="00F868B0">
        <w:rPr>
          <w:rFonts w:ascii="Garamond" w:hAnsi="Garamond" w:cs="Times New Roman"/>
          <w:i/>
          <w:iCs/>
        </w:rPr>
        <w:t xml:space="preserve"> A</w:t>
      </w:r>
      <w:r w:rsidRPr="00F868B0">
        <w:rPr>
          <w:rFonts w:asciiTheme="majorBidi" w:hAnsiTheme="majorBidi" w:cs="Times New Roman"/>
          <w:i/>
          <w:iCs/>
        </w:rPr>
        <w:t>ṣ</w:t>
      </w:r>
      <w:r w:rsidRPr="00F868B0">
        <w:rPr>
          <w:rFonts w:ascii="Garamond" w:hAnsi="Garamond" w:cs="Times New Roman"/>
          <w:i/>
          <w:iCs/>
        </w:rPr>
        <w:t>al al-Madārik: Syar</w:t>
      </w:r>
      <w:r w:rsidRPr="00F868B0">
        <w:rPr>
          <w:rFonts w:asciiTheme="majorBidi" w:hAnsiTheme="majorBidi" w:cs="Times New Roman"/>
          <w:i/>
          <w:iCs/>
        </w:rPr>
        <w:t>ḥ</w:t>
      </w:r>
      <w:r w:rsidRPr="00F868B0">
        <w:rPr>
          <w:rFonts w:ascii="Garamond" w:hAnsi="Garamond" w:cs="Times New Roman"/>
          <w:i/>
          <w:iCs/>
        </w:rPr>
        <w:t xml:space="preserve"> Irsyād al-Sālik fī Fiqh Imām al-A’immah Mālik</w:t>
      </w:r>
      <w:r w:rsidRPr="00F868B0">
        <w:rPr>
          <w:rFonts w:ascii="Garamond" w:hAnsi="Garamond" w:cs="Times New Roman"/>
        </w:rPr>
        <w:t>, Juz III, (Beirut: Dār al-Fikr, tt), h. 271. Lihat juga ‘Abd al-Ra</w:t>
      </w:r>
      <w:r w:rsidRPr="00F868B0">
        <w:rPr>
          <w:rFonts w:asciiTheme="majorBidi" w:hAnsiTheme="majorBidi" w:cs="Times New Roman"/>
        </w:rPr>
        <w:t>ḥ</w:t>
      </w:r>
      <w:r w:rsidR="00AB0833">
        <w:rPr>
          <w:rFonts w:ascii="Garamond" w:hAnsi="Garamond" w:cs="Times New Roman"/>
        </w:rPr>
        <w:t xml:space="preserve">mān al-Jazīrī, </w:t>
      </w:r>
      <w:r w:rsidR="00AB0833" w:rsidRPr="00F868B0">
        <w:rPr>
          <w:rFonts w:ascii="Garamond" w:hAnsi="Garamond" w:cs="Times New Roman"/>
          <w:i/>
          <w:iCs/>
        </w:rPr>
        <w:t>Kitāb al-Fiqh ‘alā al-Mazāhib al-Arba’ah</w:t>
      </w:r>
      <w:r w:rsidR="00AB0833">
        <w:rPr>
          <w:rFonts w:ascii="Garamond" w:hAnsi="Garamond" w:cs="Times New Roman"/>
        </w:rPr>
        <w:t>, h. 277</w:t>
      </w:r>
    </w:p>
  </w:footnote>
  <w:footnote w:id="19">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Abū Muhammad ‘Abdullah ibn A</w:t>
      </w:r>
      <w:r w:rsidRPr="00F868B0">
        <w:rPr>
          <w:rFonts w:asciiTheme="majorBidi" w:hAnsiTheme="majorBidi" w:cs="Times New Roman"/>
        </w:rPr>
        <w:t>ḥ</w:t>
      </w:r>
      <w:r w:rsidRPr="00F868B0">
        <w:rPr>
          <w:rFonts w:ascii="Garamond" w:hAnsi="Garamond" w:cs="Times New Roman"/>
        </w:rPr>
        <w:t xml:space="preserve">mad ibn Muhammad ibn Qudāmah al-Maqdisī, </w:t>
      </w:r>
      <w:r w:rsidRPr="00F868B0">
        <w:rPr>
          <w:rFonts w:ascii="Garamond" w:hAnsi="Garamond" w:cs="Times New Roman"/>
          <w:i/>
          <w:iCs/>
        </w:rPr>
        <w:t>al-Muqni’ fī Fiqh al-Imām A</w:t>
      </w:r>
      <w:r w:rsidRPr="00F868B0">
        <w:rPr>
          <w:rFonts w:asciiTheme="majorBidi" w:hAnsiTheme="majorBidi" w:cs="Times New Roman"/>
          <w:i/>
          <w:iCs/>
        </w:rPr>
        <w:t>ḥ</w:t>
      </w:r>
      <w:r w:rsidRPr="00F868B0">
        <w:rPr>
          <w:rFonts w:ascii="Garamond" w:hAnsi="Garamond" w:cs="Times New Roman"/>
          <w:i/>
          <w:iCs/>
        </w:rPr>
        <w:t xml:space="preserve">mad ibn </w:t>
      </w:r>
      <w:r w:rsidRPr="00F868B0">
        <w:rPr>
          <w:rFonts w:asciiTheme="majorBidi" w:hAnsiTheme="majorBidi" w:cs="Times New Roman"/>
          <w:i/>
          <w:iCs/>
        </w:rPr>
        <w:t>Ḥ</w:t>
      </w:r>
      <w:r w:rsidRPr="00F868B0">
        <w:rPr>
          <w:rFonts w:ascii="Garamond" w:hAnsi="Garamond" w:cs="Times New Roman"/>
          <w:i/>
          <w:iCs/>
        </w:rPr>
        <w:t>anbal al-Syaibānī</w:t>
      </w:r>
      <w:r w:rsidRPr="00F868B0">
        <w:rPr>
          <w:rFonts w:ascii="Garamond" w:hAnsi="Garamond" w:cs="Times New Roman"/>
        </w:rPr>
        <w:t>, (Jeddah: Maktabah al-Sawādī li al-Tauzī’, 2000), h. 249. Lihat juga Abū Muhammad ‘Abdullah ibn A</w:t>
      </w:r>
      <w:r w:rsidRPr="00F868B0">
        <w:rPr>
          <w:rFonts w:asciiTheme="majorBidi" w:hAnsiTheme="majorBidi" w:cs="Times New Roman"/>
        </w:rPr>
        <w:t>ḥ</w:t>
      </w:r>
      <w:r w:rsidRPr="00F868B0">
        <w:rPr>
          <w:rFonts w:ascii="Garamond" w:hAnsi="Garamond" w:cs="Times New Roman"/>
        </w:rPr>
        <w:t xml:space="preserve">mad ibn Muhammad ibn Qudāmah al-Maqdisī, </w:t>
      </w:r>
      <w:r w:rsidRPr="00F868B0">
        <w:rPr>
          <w:rFonts w:ascii="Garamond" w:hAnsi="Garamond" w:cs="Times New Roman"/>
          <w:i/>
          <w:iCs/>
        </w:rPr>
        <w:t>al-Mughnī</w:t>
      </w:r>
      <w:r w:rsidRPr="00F868B0">
        <w:rPr>
          <w:rFonts w:ascii="Garamond" w:hAnsi="Garamond" w:cs="Times New Roman"/>
        </w:rPr>
        <w:t>, Juz VIII, (Riya</w:t>
      </w:r>
      <w:r w:rsidRPr="00F868B0">
        <w:rPr>
          <w:rFonts w:asciiTheme="majorBidi" w:hAnsiTheme="majorBidi" w:cs="Times New Roman"/>
        </w:rPr>
        <w:t>ḍ</w:t>
      </w:r>
      <w:r w:rsidRPr="00F868B0">
        <w:rPr>
          <w:rFonts w:ascii="Garamond" w:hAnsi="Garamond" w:cs="Times New Roman"/>
        </w:rPr>
        <w:t>: Dār ‘Ālim al-Kutub, 1997), h. 389</w:t>
      </w:r>
    </w:p>
  </w:footnote>
  <w:footnote w:id="20">
    <w:p w:rsidR="00000000" w:rsidRDefault="00227E5D" w:rsidP="00F868B0">
      <w:pPr>
        <w:pStyle w:val="FootnoteText"/>
        <w:ind w:firstLine="567"/>
        <w:jc w:val="both"/>
      </w:pPr>
      <w:r w:rsidRPr="00F868B0">
        <w:rPr>
          <w:rStyle w:val="FootnoteReference"/>
          <w:rFonts w:ascii="Garamond" w:hAnsi="Garamond"/>
        </w:rPr>
        <w:footnoteRef/>
      </w:r>
      <w:r w:rsidR="00AB0833">
        <w:rPr>
          <w:rFonts w:ascii="Garamond" w:hAnsi="Garamond" w:cs="Times New Roman"/>
        </w:rPr>
        <w:t xml:space="preserve"> Syaikh Sayyid Sābiq, </w:t>
      </w:r>
      <w:r w:rsidR="00AB0833">
        <w:rPr>
          <w:rFonts w:ascii="Garamond" w:hAnsi="Garamond" w:cs="Times New Roman"/>
          <w:i/>
          <w:iCs/>
        </w:rPr>
        <w:t>Fiqh al-Sunnah</w:t>
      </w:r>
      <w:r w:rsidRPr="00F868B0">
        <w:rPr>
          <w:rFonts w:ascii="Garamond" w:hAnsi="Garamond" w:cs="Times New Roman"/>
        </w:rPr>
        <w:t xml:space="preserve">, </w:t>
      </w:r>
      <w:r w:rsidR="00C20A65">
        <w:rPr>
          <w:rFonts w:ascii="Garamond" w:hAnsi="Garamond" w:cs="Times New Roman"/>
        </w:rPr>
        <w:t xml:space="preserve">Juz III, </w:t>
      </w:r>
      <w:r w:rsidRPr="00F868B0">
        <w:rPr>
          <w:rFonts w:ascii="Garamond" w:hAnsi="Garamond" w:cs="Times New Roman"/>
        </w:rPr>
        <w:t>h. 998</w:t>
      </w:r>
    </w:p>
  </w:footnote>
  <w:footnote w:id="21">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Komanditer adalah peserta persekutuan dagang dengan memberikan sebagian modal saja tanpa turut menjalankan perusahaan tersebut. Lihat Departemen Pendidikan Nasional, </w:t>
      </w:r>
      <w:r w:rsidRPr="00F868B0">
        <w:rPr>
          <w:rFonts w:ascii="Garamond" w:hAnsi="Garamond" w:cs="Times New Roman"/>
          <w:i/>
          <w:iCs/>
        </w:rPr>
        <w:t>Kamus Bahasa Indonesia</w:t>
      </w:r>
      <w:r w:rsidRPr="00F868B0">
        <w:rPr>
          <w:rFonts w:ascii="Garamond" w:hAnsi="Garamond" w:cs="Times New Roman"/>
        </w:rPr>
        <w:t>, (Jakarta: Pusat Bahasa, 2008), h. 793</w:t>
      </w:r>
    </w:p>
  </w:footnote>
  <w:footnote w:id="22">
    <w:p w:rsidR="00000000" w:rsidRDefault="00227E5D" w:rsidP="00F868B0">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Jon Effreddi, Majelis Hakim dalam Perkara Nomor 69/Pdt.G/2009/PN.Pdg., pada Pengadilan Negeri Padang Kelas IA (sekarang bertugas di Pengadilan Negeri Cilacap), </w:t>
      </w:r>
      <w:r w:rsidRPr="00F868B0">
        <w:rPr>
          <w:rFonts w:ascii="Garamond" w:hAnsi="Garamond" w:cs="Times New Roman"/>
          <w:i/>
          <w:iCs/>
        </w:rPr>
        <w:t>wawancara</w:t>
      </w:r>
      <w:r w:rsidRPr="00F868B0">
        <w:rPr>
          <w:rFonts w:ascii="Garamond" w:hAnsi="Garamond" w:cs="Times New Roman"/>
        </w:rPr>
        <w:t xml:space="preserve">, via </w:t>
      </w:r>
      <w:r w:rsidRPr="00F868B0">
        <w:rPr>
          <w:rFonts w:ascii="Garamond" w:hAnsi="Garamond" w:cs="Times New Roman"/>
          <w:i/>
          <w:iCs/>
        </w:rPr>
        <w:t>chatting</w:t>
      </w:r>
      <w:r w:rsidRPr="00F868B0">
        <w:rPr>
          <w:rFonts w:ascii="Garamond" w:hAnsi="Garamond" w:cs="Times New Roman"/>
        </w:rPr>
        <w:t xml:space="preserve"> melalui aplikasi </w:t>
      </w:r>
      <w:r w:rsidRPr="00F868B0">
        <w:rPr>
          <w:rFonts w:ascii="Garamond" w:hAnsi="Garamond" w:cs="Times New Roman"/>
          <w:i/>
          <w:iCs/>
        </w:rPr>
        <w:t>WhatsApp</w:t>
      </w:r>
      <w:r w:rsidRPr="00F868B0">
        <w:rPr>
          <w:rFonts w:ascii="Garamond" w:hAnsi="Garamond" w:cs="Times New Roman"/>
        </w:rPr>
        <w:t>, tanggal 29 Mei 2018, pukul 20.50 WIB</w:t>
      </w:r>
    </w:p>
  </w:footnote>
  <w:footnote w:id="23">
    <w:p w:rsidR="00000000" w:rsidRDefault="00227E5D" w:rsidP="00AB0833">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Vide replik Tergugat dalam pokok perkara</w:t>
      </w:r>
      <w:r w:rsidRPr="00F868B0">
        <w:rPr>
          <w:rFonts w:ascii="Garamond" w:hAnsi="Garamond" w:cs="Times New Roman"/>
          <w:i/>
          <w:iCs/>
        </w:rPr>
        <w:t xml:space="preserve"> </w:t>
      </w:r>
      <w:r w:rsidRPr="00F868B0">
        <w:rPr>
          <w:rFonts w:ascii="Garamond" w:hAnsi="Garamond" w:cs="Times New Roman"/>
        </w:rPr>
        <w:t>pada salinan putusan Nomor: 69/Pdt.G/2009/PN.Pdg, h. 15-16</w:t>
      </w:r>
    </w:p>
  </w:footnote>
  <w:footnote w:id="24">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Sapta Diharja, Majelis Hakim dalam Perkara Nomor: 69/Pdt.G/2009/PN.Pdg., pada Pengadilan Negeri Padang Kelas IA (sekarang bertugas di Pengadilan Negeri Ciamis), </w:t>
      </w:r>
      <w:r w:rsidRPr="00F868B0">
        <w:rPr>
          <w:rFonts w:ascii="Garamond" w:hAnsi="Garamond" w:cs="Times New Roman"/>
          <w:i/>
          <w:iCs/>
        </w:rPr>
        <w:t>wawancara</w:t>
      </w:r>
      <w:r w:rsidRPr="00F868B0">
        <w:rPr>
          <w:rFonts w:ascii="Garamond" w:hAnsi="Garamond" w:cs="Times New Roman"/>
        </w:rPr>
        <w:t>, via telepon, tanggal 18 Juni 2018, pukul 19.56 WIB s/d 20.15 WIB</w:t>
      </w:r>
    </w:p>
  </w:footnote>
  <w:footnote w:id="25">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Fathur Rizqi, Hakim Pengadilan Agama Tembilahan, </w:t>
      </w:r>
      <w:r w:rsidRPr="00F868B0">
        <w:rPr>
          <w:rFonts w:ascii="Garamond" w:hAnsi="Garamond" w:cs="Times New Roman"/>
          <w:i/>
          <w:iCs/>
        </w:rPr>
        <w:t>wawancara</w:t>
      </w:r>
      <w:r w:rsidRPr="00F868B0">
        <w:rPr>
          <w:rFonts w:ascii="Garamond" w:hAnsi="Garamond" w:cs="Times New Roman"/>
        </w:rPr>
        <w:t xml:space="preserve">, via </w:t>
      </w:r>
      <w:r w:rsidRPr="00F868B0">
        <w:rPr>
          <w:rFonts w:ascii="Garamond" w:hAnsi="Garamond" w:cs="Times New Roman"/>
          <w:i/>
          <w:iCs/>
        </w:rPr>
        <w:t>chatting</w:t>
      </w:r>
      <w:r w:rsidRPr="00F868B0">
        <w:rPr>
          <w:rFonts w:ascii="Garamond" w:hAnsi="Garamond" w:cs="Times New Roman"/>
        </w:rPr>
        <w:t xml:space="preserve"> melalui aplikasi </w:t>
      </w:r>
      <w:r w:rsidRPr="00F868B0">
        <w:rPr>
          <w:rFonts w:ascii="Garamond" w:hAnsi="Garamond" w:cs="Times New Roman"/>
          <w:i/>
          <w:iCs/>
        </w:rPr>
        <w:t>WhatsApp</w:t>
      </w:r>
      <w:r w:rsidRPr="00F868B0">
        <w:rPr>
          <w:rFonts w:ascii="Garamond" w:hAnsi="Garamond" w:cs="Times New Roman"/>
        </w:rPr>
        <w:t>, tanggal 26 Juli 2018, pukul 21.42 WIB</w:t>
      </w:r>
    </w:p>
  </w:footnote>
  <w:footnote w:id="26">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Kastel Bahri, Hakim Pengadilan Agama Bukittinggi, </w:t>
      </w:r>
      <w:r w:rsidRPr="00F868B0">
        <w:rPr>
          <w:rFonts w:ascii="Garamond" w:hAnsi="Garamond" w:cs="Times New Roman"/>
          <w:i/>
          <w:iCs/>
        </w:rPr>
        <w:t>wawancara</w:t>
      </w:r>
      <w:r w:rsidRPr="00F868B0">
        <w:rPr>
          <w:rFonts w:ascii="Garamond" w:hAnsi="Garamond" w:cs="Times New Roman"/>
        </w:rPr>
        <w:t>, di Tabek Pariangan Batusangkar (kediaman Bapak Kastel), tanggal 28 Juli 2018, pukul 17.25 WIB</w:t>
      </w:r>
    </w:p>
  </w:footnote>
  <w:footnote w:id="27">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Sapta Diharja, </w:t>
      </w:r>
      <w:r w:rsidRPr="00F868B0">
        <w:rPr>
          <w:rFonts w:ascii="Garamond" w:hAnsi="Garamond" w:cs="Times New Roman"/>
          <w:i/>
          <w:iCs/>
        </w:rPr>
        <w:t>ibid</w:t>
      </w:r>
    </w:p>
  </w:footnote>
  <w:footnote w:id="28">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Hal ini dapat disimpulkan dari Putusan Sela Perdata Nomor 69/Pdt.G/2009/PN.Pdg, h. 17-16</w:t>
      </w:r>
    </w:p>
  </w:footnote>
  <w:footnote w:id="29">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Vide amar putusan </w:t>
      </w:r>
      <w:r w:rsidRPr="00F868B0">
        <w:rPr>
          <w:rFonts w:ascii="Garamond" w:hAnsi="Garamond" w:cs="Times New Roman"/>
          <w:i/>
          <w:iCs/>
        </w:rPr>
        <w:t xml:space="preserve">judex factie </w:t>
      </w:r>
      <w:r w:rsidRPr="00F868B0">
        <w:rPr>
          <w:rFonts w:ascii="Garamond" w:hAnsi="Garamond" w:cs="Times New Roman"/>
        </w:rPr>
        <w:t>Nomor 69/Pdt.G/2009/PN.Pdg., dalam pokok perkara, h. 37</w:t>
      </w:r>
    </w:p>
  </w:footnote>
  <w:footnote w:id="30">
    <w:p w:rsidR="00000000" w:rsidRDefault="00227E5D" w:rsidP="000142F2">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Wahbah Al-Zuhailī, </w:t>
      </w:r>
      <w:r w:rsidRPr="00F868B0">
        <w:rPr>
          <w:rFonts w:ascii="Garamond" w:hAnsi="Garamond" w:cs="Times New Roman"/>
          <w:i/>
          <w:iCs/>
        </w:rPr>
        <w:t>al-Fiqh al-Islāmī wa adillatuh</w:t>
      </w:r>
      <w:r w:rsidRPr="00F868B0">
        <w:rPr>
          <w:rFonts w:ascii="Garamond" w:hAnsi="Garamond" w:cs="Times New Roman"/>
        </w:rPr>
        <w:t>, Juz VIII, (Beirut: Dār al-Fikr, 1985), h. 116. Lihat juga Abū Muhammad ‘Abdullah ibn A</w:t>
      </w:r>
      <w:r w:rsidRPr="00F868B0">
        <w:rPr>
          <w:rFonts w:asciiTheme="majorBidi" w:hAnsiTheme="majorBidi" w:cs="Times New Roman"/>
        </w:rPr>
        <w:t>ḥ</w:t>
      </w:r>
      <w:r w:rsidRPr="00F868B0">
        <w:rPr>
          <w:rFonts w:ascii="Garamond" w:hAnsi="Garamond" w:cs="Times New Roman"/>
        </w:rPr>
        <w:t xml:space="preserve">mad ibn Muhammad </w:t>
      </w:r>
      <w:r w:rsidR="00C20A65">
        <w:rPr>
          <w:rFonts w:ascii="Garamond" w:hAnsi="Garamond" w:cs="Times New Roman"/>
        </w:rPr>
        <w:t>ibn Qudāmah al-Maqdisī</w:t>
      </w:r>
      <w:r w:rsidRPr="00F868B0">
        <w:rPr>
          <w:rFonts w:ascii="Garamond" w:hAnsi="Garamond" w:cs="Times New Roman"/>
        </w:rPr>
        <w:t xml:space="preserve">, </w:t>
      </w:r>
      <w:r w:rsidR="000142F2" w:rsidRPr="00F868B0">
        <w:rPr>
          <w:rFonts w:ascii="Garamond" w:hAnsi="Garamond" w:cs="Times New Roman"/>
          <w:i/>
          <w:iCs/>
        </w:rPr>
        <w:t>al-Mughnī</w:t>
      </w:r>
      <w:r w:rsidR="000142F2">
        <w:rPr>
          <w:rFonts w:ascii="Garamond" w:hAnsi="Garamond" w:cs="Times New Roman"/>
        </w:rPr>
        <w:t>,</w:t>
      </w:r>
      <w:r w:rsidRPr="00F868B0">
        <w:rPr>
          <w:rFonts w:ascii="Garamond" w:hAnsi="Garamond" w:cs="Times New Roman"/>
        </w:rPr>
        <w:t xml:space="preserve"> </w:t>
      </w:r>
      <w:r w:rsidR="00C20A65">
        <w:rPr>
          <w:rFonts w:ascii="Garamond" w:hAnsi="Garamond" w:cs="Times New Roman"/>
        </w:rPr>
        <w:t xml:space="preserve">Juz VIII, </w:t>
      </w:r>
      <w:r w:rsidRPr="00F868B0">
        <w:rPr>
          <w:rFonts w:ascii="Garamond" w:hAnsi="Garamond" w:cs="Times New Roman"/>
        </w:rPr>
        <w:t>h. 413. Lihat juga Imām ‘Alāuddīn Abī Bak</w:t>
      </w:r>
      <w:r w:rsidR="00C20A65">
        <w:rPr>
          <w:rFonts w:ascii="Garamond" w:hAnsi="Garamond" w:cs="Times New Roman"/>
        </w:rPr>
        <w:t>r ibn Mas’ūd</w:t>
      </w:r>
      <w:r w:rsidRPr="00F868B0">
        <w:rPr>
          <w:rFonts w:ascii="Garamond" w:hAnsi="Garamond" w:cs="Times New Roman"/>
        </w:rPr>
        <w:t xml:space="preserve">, </w:t>
      </w:r>
      <w:r w:rsidR="000142F2" w:rsidRPr="00F868B0">
        <w:rPr>
          <w:rFonts w:ascii="Garamond" w:hAnsi="Garamond" w:cs="Times New Roman"/>
          <w:i/>
          <w:iCs/>
        </w:rPr>
        <w:t>Badā’i al-</w:t>
      </w:r>
      <w:r w:rsidR="000142F2" w:rsidRPr="00F868B0">
        <w:rPr>
          <w:rFonts w:asciiTheme="majorBidi" w:hAnsiTheme="majorBidi" w:cs="Times New Roman"/>
          <w:i/>
          <w:iCs/>
        </w:rPr>
        <w:t>Ṣ</w:t>
      </w:r>
      <w:r w:rsidR="000142F2" w:rsidRPr="00F868B0">
        <w:rPr>
          <w:rFonts w:ascii="Garamond" w:hAnsi="Garamond" w:cs="Times New Roman"/>
          <w:i/>
          <w:iCs/>
        </w:rPr>
        <w:t>anāi’ fī Tartīb al-Syarāi’</w:t>
      </w:r>
      <w:r w:rsidRPr="00F868B0">
        <w:rPr>
          <w:rFonts w:ascii="Garamond" w:hAnsi="Garamond" w:cs="Times New Roman"/>
        </w:rPr>
        <w:t xml:space="preserve">, </w:t>
      </w:r>
      <w:r w:rsidR="00C20A65">
        <w:rPr>
          <w:rFonts w:ascii="Garamond" w:hAnsi="Garamond" w:cs="Times New Roman"/>
        </w:rPr>
        <w:t xml:space="preserve">Juz X, </w:t>
      </w:r>
      <w:r w:rsidRPr="00F868B0">
        <w:rPr>
          <w:rFonts w:ascii="Garamond" w:hAnsi="Garamond" w:cs="Times New Roman"/>
        </w:rPr>
        <w:t>h. 594</w:t>
      </w:r>
    </w:p>
  </w:footnote>
  <w:footnote w:id="31">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Abī Abdullāh Muhammad ibn Yazīd al-Qazwainī Ibn Mājah, </w:t>
      </w:r>
      <w:r w:rsidRPr="00F868B0">
        <w:rPr>
          <w:rFonts w:ascii="Garamond" w:hAnsi="Garamond" w:cs="Times New Roman"/>
          <w:i/>
          <w:iCs/>
        </w:rPr>
        <w:t xml:space="preserve">Sunan Ibn Mājah, </w:t>
      </w:r>
      <w:r w:rsidRPr="00F868B0">
        <w:rPr>
          <w:rFonts w:ascii="Garamond" w:hAnsi="Garamond" w:cs="Times New Roman"/>
        </w:rPr>
        <w:t>(Riya</w:t>
      </w:r>
      <w:r w:rsidRPr="00F868B0">
        <w:rPr>
          <w:rFonts w:asciiTheme="majorBidi" w:hAnsiTheme="majorBidi" w:cs="Times New Roman"/>
        </w:rPr>
        <w:t>ḍ</w:t>
      </w:r>
      <w:r w:rsidRPr="00F868B0">
        <w:rPr>
          <w:rFonts w:ascii="Garamond" w:hAnsi="Garamond" w:cs="Times New Roman"/>
        </w:rPr>
        <w:t>: Maktabah al-Ma’ārif, 1417 H), h. 461</w:t>
      </w:r>
    </w:p>
  </w:footnote>
  <w:footnote w:id="32">
    <w:p w:rsidR="00000000" w:rsidRDefault="00227E5D" w:rsidP="00AB0833">
      <w:pPr>
        <w:pStyle w:val="FootnoteText"/>
        <w:spacing w:after="40"/>
        <w:ind w:firstLine="567"/>
        <w:jc w:val="both"/>
      </w:pPr>
      <w:r w:rsidRPr="00F868B0">
        <w:rPr>
          <w:rStyle w:val="FootnoteReference"/>
          <w:rFonts w:ascii="Garamond" w:hAnsi="Garamond"/>
        </w:rPr>
        <w:footnoteRef/>
      </w:r>
      <w:r w:rsidRPr="00F868B0">
        <w:rPr>
          <w:rFonts w:ascii="Garamond" w:hAnsi="Garamond" w:cs="Times New Roman"/>
        </w:rPr>
        <w:t xml:space="preserve"> Abī Abdullāh Muhammad ibn Yazīd al-Qazwainī Ibn Mājah, </w:t>
      </w:r>
      <w:r w:rsidR="00AB0833" w:rsidRPr="00F868B0">
        <w:rPr>
          <w:rFonts w:ascii="Garamond" w:hAnsi="Garamond" w:cs="Times New Roman"/>
          <w:i/>
          <w:iCs/>
        </w:rPr>
        <w:t>Sunan Ibn Mājah</w:t>
      </w:r>
      <w:r w:rsidRPr="00F868B0">
        <w:rPr>
          <w:rFonts w:ascii="Garamond" w:hAnsi="Garamond" w:cs="Times New Roman"/>
        </w:rPr>
        <w:t>, h. 460-461</w:t>
      </w:r>
    </w:p>
  </w:footnote>
  <w:footnote w:id="33">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Ketentuan mengenai bagian ahli waris pengganti diatur dalam pasal 185 ayat (1) dan (2) KHI.</w:t>
      </w:r>
    </w:p>
  </w:footnote>
  <w:footnote w:id="34">
    <w:p w:rsidR="00000000" w:rsidRDefault="00227E5D"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Abū Abdullah Muhammad ibn Ismā’īl al-Bukhārī, </w:t>
      </w:r>
      <w:r w:rsidRPr="00F868B0">
        <w:rPr>
          <w:rFonts w:ascii="Garamond" w:hAnsi="Garamond" w:cs="Times New Roman"/>
          <w:i/>
          <w:iCs/>
        </w:rPr>
        <w:t>al-Jamī’ al-</w:t>
      </w:r>
      <w:r w:rsidRPr="00F868B0">
        <w:rPr>
          <w:rFonts w:asciiTheme="majorBidi" w:hAnsiTheme="majorBidi" w:cs="Times New Roman"/>
          <w:i/>
          <w:iCs/>
        </w:rPr>
        <w:t>Ṣ</w:t>
      </w:r>
      <w:r w:rsidRPr="00F868B0">
        <w:rPr>
          <w:rFonts w:ascii="Garamond" w:hAnsi="Garamond" w:cs="Times New Roman"/>
          <w:i/>
          <w:iCs/>
        </w:rPr>
        <w:t>a</w:t>
      </w:r>
      <w:r w:rsidRPr="00F868B0">
        <w:rPr>
          <w:rFonts w:asciiTheme="majorBidi" w:hAnsiTheme="majorBidi" w:cs="Times New Roman"/>
          <w:i/>
          <w:iCs/>
        </w:rPr>
        <w:t>ḥ</w:t>
      </w:r>
      <w:r w:rsidRPr="00F868B0">
        <w:rPr>
          <w:rFonts w:ascii="Garamond" w:hAnsi="Garamond" w:cs="Times New Roman"/>
          <w:i/>
          <w:iCs/>
        </w:rPr>
        <w:t>ī</w:t>
      </w:r>
      <w:r w:rsidRPr="00F868B0">
        <w:rPr>
          <w:rFonts w:asciiTheme="majorBidi" w:hAnsiTheme="majorBidi" w:cs="Times New Roman"/>
          <w:i/>
          <w:iCs/>
        </w:rPr>
        <w:t>ḥ</w:t>
      </w:r>
      <w:r w:rsidRPr="00F868B0">
        <w:rPr>
          <w:rFonts w:ascii="Garamond" w:hAnsi="Garamond" w:cs="Times New Roman"/>
        </w:rPr>
        <w:t xml:space="preserve">, </w:t>
      </w:r>
      <w:r w:rsidR="000142F2">
        <w:rPr>
          <w:rFonts w:ascii="Garamond" w:hAnsi="Garamond" w:cs="Times New Roman"/>
        </w:rPr>
        <w:t>h. 287</w:t>
      </w:r>
    </w:p>
  </w:footnote>
  <w:footnote w:id="35">
    <w:p w:rsidR="00000000" w:rsidRDefault="00121141" w:rsidP="00F868B0">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Wahbah Al-Zuhailī, </w:t>
      </w:r>
      <w:r w:rsidRPr="00F868B0">
        <w:rPr>
          <w:rFonts w:ascii="Garamond" w:hAnsi="Garamond" w:cs="Times New Roman"/>
          <w:i/>
          <w:iCs/>
        </w:rPr>
        <w:t>loc.cit</w:t>
      </w:r>
    </w:p>
  </w:footnote>
  <w:footnote w:id="36">
    <w:p w:rsidR="00000000" w:rsidRDefault="00121141" w:rsidP="000142F2">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Abū Muhammad ‘Abdullah ibn A</w:t>
      </w:r>
      <w:r w:rsidRPr="00F868B0">
        <w:rPr>
          <w:rFonts w:asciiTheme="majorBidi" w:hAnsiTheme="majorBidi" w:cs="Times New Roman"/>
        </w:rPr>
        <w:t>ḥ</w:t>
      </w:r>
      <w:r w:rsidRPr="00F868B0">
        <w:rPr>
          <w:rFonts w:ascii="Garamond" w:hAnsi="Garamond" w:cs="Times New Roman"/>
        </w:rPr>
        <w:t xml:space="preserve">mad ibn Muhammad ibn Qudāmah al-Maqdisī, </w:t>
      </w:r>
      <w:r w:rsidR="000142F2" w:rsidRPr="00F868B0">
        <w:rPr>
          <w:rFonts w:ascii="Garamond" w:hAnsi="Garamond" w:cs="Times New Roman"/>
          <w:i/>
          <w:iCs/>
        </w:rPr>
        <w:t>al-Mughnī</w:t>
      </w:r>
      <w:r w:rsidR="000142F2">
        <w:rPr>
          <w:rFonts w:ascii="Garamond" w:hAnsi="Garamond" w:cs="Times New Roman"/>
        </w:rPr>
        <w:t>,</w:t>
      </w:r>
      <w:r w:rsidR="000142F2" w:rsidRPr="00F868B0">
        <w:rPr>
          <w:rFonts w:ascii="Garamond" w:hAnsi="Garamond" w:cs="Times New Roman"/>
        </w:rPr>
        <w:t xml:space="preserve"> </w:t>
      </w:r>
      <w:r w:rsidR="000142F2">
        <w:rPr>
          <w:rFonts w:ascii="Garamond" w:hAnsi="Garamond" w:cs="Times New Roman"/>
        </w:rPr>
        <w:t xml:space="preserve">Juz VIII, </w:t>
      </w:r>
      <w:r w:rsidR="000142F2" w:rsidRPr="00F868B0">
        <w:rPr>
          <w:rFonts w:ascii="Garamond" w:hAnsi="Garamond" w:cs="Times New Roman"/>
        </w:rPr>
        <w:t>h. 413</w:t>
      </w:r>
    </w:p>
  </w:footnote>
  <w:footnote w:id="37">
    <w:p w:rsidR="00000000" w:rsidRDefault="00121141" w:rsidP="000142F2">
      <w:pPr>
        <w:pStyle w:val="FootnoteText"/>
        <w:ind w:firstLine="567"/>
        <w:jc w:val="both"/>
      </w:pPr>
      <w:r w:rsidRPr="00F868B0">
        <w:rPr>
          <w:rStyle w:val="FootnoteReference"/>
          <w:rFonts w:ascii="Garamond" w:hAnsi="Garamond"/>
        </w:rPr>
        <w:footnoteRef/>
      </w:r>
      <w:r w:rsidRPr="00F868B0">
        <w:rPr>
          <w:rFonts w:ascii="Garamond" w:hAnsi="Garamond" w:cs="Times New Roman"/>
        </w:rPr>
        <w:t xml:space="preserve"> Imām ‘Alāuddīn Abī Bakr ibn Mas’ūd al-Kasānī al-Hanafī, </w:t>
      </w:r>
      <w:r w:rsidR="000142F2" w:rsidRPr="00F868B0">
        <w:rPr>
          <w:rFonts w:ascii="Garamond" w:hAnsi="Garamond" w:cs="Times New Roman"/>
          <w:i/>
          <w:iCs/>
        </w:rPr>
        <w:t>Badā’i al-</w:t>
      </w:r>
      <w:r w:rsidR="000142F2" w:rsidRPr="00F868B0">
        <w:rPr>
          <w:rFonts w:asciiTheme="majorBidi" w:hAnsiTheme="majorBidi" w:cs="Times New Roman"/>
          <w:i/>
          <w:iCs/>
        </w:rPr>
        <w:t>Ṣ</w:t>
      </w:r>
      <w:r w:rsidR="000142F2" w:rsidRPr="00F868B0">
        <w:rPr>
          <w:rFonts w:ascii="Garamond" w:hAnsi="Garamond" w:cs="Times New Roman"/>
          <w:i/>
          <w:iCs/>
        </w:rPr>
        <w:t>anāi’ fī Tartīb al-Syarāi’</w:t>
      </w:r>
      <w:r w:rsidR="000142F2">
        <w:rPr>
          <w:rFonts w:ascii="Garamond" w:hAnsi="Garamond" w:cs="Times New Roman"/>
        </w:rPr>
        <w:t>, h. 594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5D" w:rsidRDefault="00227E5D">
    <w:pPr>
      <w:pStyle w:val="Header"/>
      <w:jc w:val="right"/>
    </w:pPr>
    <w:r>
      <w:fldChar w:fldCharType="begin"/>
    </w:r>
    <w:r>
      <w:instrText xml:space="preserve"> PAGE   \* MERGEFORMAT </w:instrText>
    </w:r>
    <w:r>
      <w:fldChar w:fldCharType="separate"/>
    </w:r>
    <w:r w:rsidR="008C5477">
      <w:rPr>
        <w:noProof/>
      </w:rPr>
      <w:t>17</w:t>
    </w:r>
    <w:r>
      <w:fldChar w:fldCharType="end"/>
    </w:r>
  </w:p>
  <w:p w:rsidR="00227E5D" w:rsidRDefault="00227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524D"/>
    <w:multiLevelType w:val="hybridMultilevel"/>
    <w:tmpl w:val="59F8D3BA"/>
    <w:lvl w:ilvl="0" w:tplc="56661704">
      <w:start w:val="1"/>
      <w:numFmt w:val="decimal"/>
      <w:lvlText w:val="%1."/>
      <w:lvlJc w:val="left"/>
      <w:pPr>
        <w:ind w:left="1713" w:hanging="360"/>
      </w:pPr>
      <w:rPr>
        <w:rFonts w:cs="Times New Roman" w:hint="default"/>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
    <w:nsid w:val="1CB052BC"/>
    <w:multiLevelType w:val="hybridMultilevel"/>
    <w:tmpl w:val="3A6C958C"/>
    <w:lvl w:ilvl="0" w:tplc="89004004">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
    <w:nsid w:val="27B03B63"/>
    <w:multiLevelType w:val="hybridMultilevel"/>
    <w:tmpl w:val="8B607A36"/>
    <w:lvl w:ilvl="0" w:tplc="966E8DC0">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nsid w:val="2B261815"/>
    <w:multiLevelType w:val="hybridMultilevel"/>
    <w:tmpl w:val="7BCEEED8"/>
    <w:lvl w:ilvl="0" w:tplc="C204BE0C">
      <w:start w:val="1"/>
      <w:numFmt w:val="decimal"/>
      <w:lvlText w:val="%1)"/>
      <w:lvlJc w:val="left"/>
      <w:pPr>
        <w:ind w:left="2138" w:hanging="360"/>
      </w:pPr>
      <w:rPr>
        <w:rFonts w:cs="Times New Roman" w:hint="default"/>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4">
    <w:nsid w:val="334F262D"/>
    <w:multiLevelType w:val="hybridMultilevel"/>
    <w:tmpl w:val="A46AEAF8"/>
    <w:lvl w:ilvl="0" w:tplc="ED02F974">
      <w:start w:val="1"/>
      <w:numFmt w:val="upperLetter"/>
      <w:lvlText w:val="%1."/>
      <w:lvlJc w:val="left"/>
      <w:pPr>
        <w:ind w:left="720"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1E10BA"/>
    <w:multiLevelType w:val="hybridMultilevel"/>
    <w:tmpl w:val="735AE0A0"/>
    <w:lvl w:ilvl="0" w:tplc="F684BD30">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
    <w:nsid w:val="406D45AD"/>
    <w:multiLevelType w:val="multilevel"/>
    <w:tmpl w:val="DB5E3556"/>
    <w:lvl w:ilvl="0">
      <w:start w:val="1"/>
      <w:numFmt w:val="lowerLetter"/>
      <w:lvlText w:val="%1."/>
      <w:lvlJc w:val="left"/>
      <w:pPr>
        <w:ind w:left="1848" w:hanging="360"/>
      </w:pPr>
      <w:rPr>
        <w:rFonts w:cs="Times New Roman" w:hint="default"/>
      </w:rPr>
    </w:lvl>
    <w:lvl w:ilvl="1">
      <w:start w:val="1"/>
      <w:numFmt w:val="decimal"/>
      <w:lvlText w:val="%2."/>
      <w:lvlJc w:val="left"/>
      <w:pPr>
        <w:ind w:left="2568" w:hanging="360"/>
      </w:pPr>
      <w:rPr>
        <w:rFonts w:cs="Times New Roman" w:hint="default"/>
      </w:rPr>
    </w:lvl>
    <w:lvl w:ilvl="2" w:tentative="1">
      <w:start w:val="1"/>
      <w:numFmt w:val="lowerRoman"/>
      <w:lvlText w:val="%3."/>
      <w:lvlJc w:val="right"/>
      <w:pPr>
        <w:ind w:left="3288" w:hanging="180"/>
      </w:pPr>
      <w:rPr>
        <w:rFonts w:cs="Times New Roman"/>
      </w:rPr>
    </w:lvl>
    <w:lvl w:ilvl="3" w:tentative="1">
      <w:start w:val="1"/>
      <w:numFmt w:val="decimal"/>
      <w:lvlText w:val="%4."/>
      <w:lvlJc w:val="left"/>
      <w:pPr>
        <w:ind w:left="4008" w:hanging="360"/>
      </w:pPr>
      <w:rPr>
        <w:rFonts w:cs="Times New Roman"/>
      </w:rPr>
    </w:lvl>
    <w:lvl w:ilvl="4" w:tentative="1">
      <w:start w:val="1"/>
      <w:numFmt w:val="lowerLetter"/>
      <w:lvlText w:val="%5."/>
      <w:lvlJc w:val="left"/>
      <w:pPr>
        <w:ind w:left="4728" w:hanging="360"/>
      </w:pPr>
      <w:rPr>
        <w:rFonts w:cs="Times New Roman"/>
      </w:rPr>
    </w:lvl>
    <w:lvl w:ilvl="5" w:tentative="1">
      <w:start w:val="1"/>
      <w:numFmt w:val="lowerRoman"/>
      <w:lvlText w:val="%6."/>
      <w:lvlJc w:val="right"/>
      <w:pPr>
        <w:ind w:left="5448" w:hanging="180"/>
      </w:pPr>
      <w:rPr>
        <w:rFonts w:cs="Times New Roman"/>
      </w:rPr>
    </w:lvl>
    <w:lvl w:ilvl="6" w:tentative="1">
      <w:start w:val="1"/>
      <w:numFmt w:val="decimal"/>
      <w:lvlText w:val="%7."/>
      <w:lvlJc w:val="left"/>
      <w:pPr>
        <w:ind w:left="6168" w:hanging="360"/>
      </w:pPr>
      <w:rPr>
        <w:rFonts w:cs="Times New Roman"/>
      </w:rPr>
    </w:lvl>
    <w:lvl w:ilvl="7" w:tentative="1">
      <w:start w:val="1"/>
      <w:numFmt w:val="lowerLetter"/>
      <w:lvlText w:val="%8."/>
      <w:lvlJc w:val="left"/>
      <w:pPr>
        <w:ind w:left="6888" w:hanging="360"/>
      </w:pPr>
      <w:rPr>
        <w:rFonts w:cs="Times New Roman"/>
      </w:rPr>
    </w:lvl>
    <w:lvl w:ilvl="8" w:tentative="1">
      <w:start w:val="1"/>
      <w:numFmt w:val="lowerRoman"/>
      <w:lvlText w:val="%9."/>
      <w:lvlJc w:val="right"/>
      <w:pPr>
        <w:ind w:left="7608" w:hanging="180"/>
      </w:pPr>
      <w:rPr>
        <w:rFonts w:cs="Times New Roman"/>
      </w:rPr>
    </w:lvl>
  </w:abstractNum>
  <w:abstractNum w:abstractNumId="7">
    <w:nsid w:val="4A2A7663"/>
    <w:multiLevelType w:val="hybridMultilevel"/>
    <w:tmpl w:val="0388E78A"/>
    <w:lvl w:ilvl="0" w:tplc="3098BF94">
      <w:start w:val="1"/>
      <w:numFmt w:val="lowerLetter"/>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8">
    <w:nsid w:val="53D30CDF"/>
    <w:multiLevelType w:val="hybridMultilevel"/>
    <w:tmpl w:val="00446CB0"/>
    <w:lvl w:ilvl="0" w:tplc="827E862E">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9">
    <w:nsid w:val="54FB5F06"/>
    <w:multiLevelType w:val="hybridMultilevel"/>
    <w:tmpl w:val="E286B176"/>
    <w:lvl w:ilvl="0" w:tplc="7E2CF0AE">
      <w:start w:val="1"/>
      <w:numFmt w:val="decimal"/>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nsid w:val="6B6667F1"/>
    <w:multiLevelType w:val="hybridMultilevel"/>
    <w:tmpl w:val="78D2B6FE"/>
    <w:lvl w:ilvl="0" w:tplc="E0F00BC2">
      <w:start w:val="1"/>
      <w:numFmt w:val="lowerLetter"/>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1">
    <w:nsid w:val="6CD20A18"/>
    <w:multiLevelType w:val="hybridMultilevel"/>
    <w:tmpl w:val="8ACAE90E"/>
    <w:lvl w:ilvl="0" w:tplc="11AA026E">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num w:numId="1">
    <w:abstractNumId w:val="4"/>
  </w:num>
  <w:num w:numId="2">
    <w:abstractNumId w:val="9"/>
  </w:num>
  <w:num w:numId="3">
    <w:abstractNumId w:val="8"/>
  </w:num>
  <w:num w:numId="4">
    <w:abstractNumId w:val="0"/>
  </w:num>
  <w:num w:numId="5">
    <w:abstractNumId w:val="2"/>
  </w:num>
  <w:num w:numId="6">
    <w:abstractNumId w:val="6"/>
  </w:num>
  <w:num w:numId="7">
    <w:abstractNumId w:val="7"/>
  </w:num>
  <w:num w:numId="8">
    <w:abstractNumId w:val="10"/>
  </w:num>
  <w:num w:numId="9">
    <w:abstractNumId w:val="3"/>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A9"/>
    <w:rsid w:val="00001357"/>
    <w:rsid w:val="00002889"/>
    <w:rsid w:val="00004B24"/>
    <w:rsid w:val="000112E1"/>
    <w:rsid w:val="000120A9"/>
    <w:rsid w:val="000131FE"/>
    <w:rsid w:val="00013561"/>
    <w:rsid w:val="00013663"/>
    <w:rsid w:val="000142F2"/>
    <w:rsid w:val="00016453"/>
    <w:rsid w:val="00017559"/>
    <w:rsid w:val="00017C05"/>
    <w:rsid w:val="000216CD"/>
    <w:rsid w:val="000308A5"/>
    <w:rsid w:val="0003165E"/>
    <w:rsid w:val="00031EA7"/>
    <w:rsid w:val="0003411B"/>
    <w:rsid w:val="00036936"/>
    <w:rsid w:val="00042679"/>
    <w:rsid w:val="00043893"/>
    <w:rsid w:val="00044517"/>
    <w:rsid w:val="00046864"/>
    <w:rsid w:val="00047EB3"/>
    <w:rsid w:val="0005008D"/>
    <w:rsid w:val="00050B8A"/>
    <w:rsid w:val="00053353"/>
    <w:rsid w:val="0005509D"/>
    <w:rsid w:val="00055CAB"/>
    <w:rsid w:val="00055F05"/>
    <w:rsid w:val="00061CC3"/>
    <w:rsid w:val="00061D17"/>
    <w:rsid w:val="00062819"/>
    <w:rsid w:val="00062C0B"/>
    <w:rsid w:val="00064A00"/>
    <w:rsid w:val="0007060E"/>
    <w:rsid w:val="00071A71"/>
    <w:rsid w:val="00072923"/>
    <w:rsid w:val="00074DCC"/>
    <w:rsid w:val="00076E90"/>
    <w:rsid w:val="0007711C"/>
    <w:rsid w:val="000776E9"/>
    <w:rsid w:val="00080B1D"/>
    <w:rsid w:val="000816A0"/>
    <w:rsid w:val="00081917"/>
    <w:rsid w:val="0008388D"/>
    <w:rsid w:val="00083EB4"/>
    <w:rsid w:val="000849FA"/>
    <w:rsid w:val="000852B4"/>
    <w:rsid w:val="00085F14"/>
    <w:rsid w:val="00086E41"/>
    <w:rsid w:val="000941DD"/>
    <w:rsid w:val="000945C1"/>
    <w:rsid w:val="00094E95"/>
    <w:rsid w:val="000A1369"/>
    <w:rsid w:val="000A26AD"/>
    <w:rsid w:val="000A27A0"/>
    <w:rsid w:val="000A358A"/>
    <w:rsid w:val="000A5624"/>
    <w:rsid w:val="000A5E30"/>
    <w:rsid w:val="000A6674"/>
    <w:rsid w:val="000A667B"/>
    <w:rsid w:val="000A7070"/>
    <w:rsid w:val="000B099D"/>
    <w:rsid w:val="000B0D1E"/>
    <w:rsid w:val="000B1D9F"/>
    <w:rsid w:val="000B266A"/>
    <w:rsid w:val="000B2BD4"/>
    <w:rsid w:val="000B33F0"/>
    <w:rsid w:val="000B45BA"/>
    <w:rsid w:val="000B615F"/>
    <w:rsid w:val="000B65E6"/>
    <w:rsid w:val="000B6874"/>
    <w:rsid w:val="000B6D71"/>
    <w:rsid w:val="000B6F66"/>
    <w:rsid w:val="000B75F0"/>
    <w:rsid w:val="000C1A06"/>
    <w:rsid w:val="000C266D"/>
    <w:rsid w:val="000C3C81"/>
    <w:rsid w:val="000C66E4"/>
    <w:rsid w:val="000C774E"/>
    <w:rsid w:val="000D055D"/>
    <w:rsid w:val="000D56AF"/>
    <w:rsid w:val="000D5D21"/>
    <w:rsid w:val="000D64A7"/>
    <w:rsid w:val="000D7A77"/>
    <w:rsid w:val="000E20D9"/>
    <w:rsid w:val="000E3CB6"/>
    <w:rsid w:val="000F0A6B"/>
    <w:rsid w:val="000F309F"/>
    <w:rsid w:val="000F3773"/>
    <w:rsid w:val="000F691A"/>
    <w:rsid w:val="000F7180"/>
    <w:rsid w:val="00102D84"/>
    <w:rsid w:val="001050EA"/>
    <w:rsid w:val="00105CCF"/>
    <w:rsid w:val="00105F85"/>
    <w:rsid w:val="00111031"/>
    <w:rsid w:val="001110B1"/>
    <w:rsid w:val="001136D7"/>
    <w:rsid w:val="00114676"/>
    <w:rsid w:val="0011587D"/>
    <w:rsid w:val="00115909"/>
    <w:rsid w:val="00115AE1"/>
    <w:rsid w:val="00115D92"/>
    <w:rsid w:val="001175B5"/>
    <w:rsid w:val="00117914"/>
    <w:rsid w:val="00117CF3"/>
    <w:rsid w:val="00121141"/>
    <w:rsid w:val="0012468D"/>
    <w:rsid w:val="00126F86"/>
    <w:rsid w:val="00127155"/>
    <w:rsid w:val="00127320"/>
    <w:rsid w:val="0012788F"/>
    <w:rsid w:val="00132F8D"/>
    <w:rsid w:val="001346FF"/>
    <w:rsid w:val="0013602A"/>
    <w:rsid w:val="0013640D"/>
    <w:rsid w:val="00137B23"/>
    <w:rsid w:val="00140580"/>
    <w:rsid w:val="00140A17"/>
    <w:rsid w:val="00141426"/>
    <w:rsid w:val="00142D28"/>
    <w:rsid w:val="00145A56"/>
    <w:rsid w:val="00146D72"/>
    <w:rsid w:val="0014708F"/>
    <w:rsid w:val="0015067D"/>
    <w:rsid w:val="00154ED6"/>
    <w:rsid w:val="001553EE"/>
    <w:rsid w:val="00156668"/>
    <w:rsid w:val="00156BF1"/>
    <w:rsid w:val="001576E0"/>
    <w:rsid w:val="001616AE"/>
    <w:rsid w:val="00163042"/>
    <w:rsid w:val="00163D81"/>
    <w:rsid w:val="00166C62"/>
    <w:rsid w:val="00167880"/>
    <w:rsid w:val="00170244"/>
    <w:rsid w:val="00170281"/>
    <w:rsid w:val="00171BEF"/>
    <w:rsid w:val="0017225D"/>
    <w:rsid w:val="0017648C"/>
    <w:rsid w:val="001764E6"/>
    <w:rsid w:val="00177FA6"/>
    <w:rsid w:val="00180731"/>
    <w:rsid w:val="00180D17"/>
    <w:rsid w:val="00180E8F"/>
    <w:rsid w:val="00181B45"/>
    <w:rsid w:val="00183AE6"/>
    <w:rsid w:val="001850E4"/>
    <w:rsid w:val="00186799"/>
    <w:rsid w:val="00187075"/>
    <w:rsid w:val="00187854"/>
    <w:rsid w:val="00187AA1"/>
    <w:rsid w:val="00190931"/>
    <w:rsid w:val="00190C0A"/>
    <w:rsid w:val="00191485"/>
    <w:rsid w:val="001917B0"/>
    <w:rsid w:val="00194EAE"/>
    <w:rsid w:val="0019504C"/>
    <w:rsid w:val="00195CCB"/>
    <w:rsid w:val="001A035D"/>
    <w:rsid w:val="001A0FF1"/>
    <w:rsid w:val="001A1379"/>
    <w:rsid w:val="001A2449"/>
    <w:rsid w:val="001A367E"/>
    <w:rsid w:val="001A3E80"/>
    <w:rsid w:val="001A67F8"/>
    <w:rsid w:val="001A7124"/>
    <w:rsid w:val="001A79A0"/>
    <w:rsid w:val="001B74C3"/>
    <w:rsid w:val="001B7F99"/>
    <w:rsid w:val="001C057A"/>
    <w:rsid w:val="001C33C8"/>
    <w:rsid w:val="001C4650"/>
    <w:rsid w:val="001C5D1B"/>
    <w:rsid w:val="001D0B7E"/>
    <w:rsid w:val="001D4FC7"/>
    <w:rsid w:val="001D525A"/>
    <w:rsid w:val="001D563C"/>
    <w:rsid w:val="001D6799"/>
    <w:rsid w:val="001D6D82"/>
    <w:rsid w:val="001E1F9D"/>
    <w:rsid w:val="001E335E"/>
    <w:rsid w:val="001E4005"/>
    <w:rsid w:val="001E4399"/>
    <w:rsid w:val="001E46CF"/>
    <w:rsid w:val="001E5131"/>
    <w:rsid w:val="001F1267"/>
    <w:rsid w:val="001F3654"/>
    <w:rsid w:val="001F5CDB"/>
    <w:rsid w:val="001F6019"/>
    <w:rsid w:val="001F6384"/>
    <w:rsid w:val="001F651E"/>
    <w:rsid w:val="001F6C84"/>
    <w:rsid w:val="001F7194"/>
    <w:rsid w:val="001F728C"/>
    <w:rsid w:val="00200C53"/>
    <w:rsid w:val="00201A8B"/>
    <w:rsid w:val="0020401E"/>
    <w:rsid w:val="002041B7"/>
    <w:rsid w:val="002050C8"/>
    <w:rsid w:val="00212A89"/>
    <w:rsid w:val="00213017"/>
    <w:rsid w:val="00214D35"/>
    <w:rsid w:val="00216526"/>
    <w:rsid w:val="00216D13"/>
    <w:rsid w:val="00225BFD"/>
    <w:rsid w:val="00225FC0"/>
    <w:rsid w:val="0022718E"/>
    <w:rsid w:val="00227E5D"/>
    <w:rsid w:val="002322FC"/>
    <w:rsid w:val="00233F62"/>
    <w:rsid w:val="002417F3"/>
    <w:rsid w:val="00242016"/>
    <w:rsid w:val="0024423E"/>
    <w:rsid w:val="00245E9C"/>
    <w:rsid w:val="00247708"/>
    <w:rsid w:val="0025038A"/>
    <w:rsid w:val="00257837"/>
    <w:rsid w:val="00260B41"/>
    <w:rsid w:val="00262B11"/>
    <w:rsid w:val="00262DAA"/>
    <w:rsid w:val="00264168"/>
    <w:rsid w:val="00264C7A"/>
    <w:rsid w:val="00267560"/>
    <w:rsid w:val="002678DA"/>
    <w:rsid w:val="00272A64"/>
    <w:rsid w:val="0027312E"/>
    <w:rsid w:val="002731DA"/>
    <w:rsid w:val="00274574"/>
    <w:rsid w:val="00274CB4"/>
    <w:rsid w:val="00274EA7"/>
    <w:rsid w:val="00275E21"/>
    <w:rsid w:val="00276D3E"/>
    <w:rsid w:val="002800FD"/>
    <w:rsid w:val="0028295A"/>
    <w:rsid w:val="00287FD5"/>
    <w:rsid w:val="00292009"/>
    <w:rsid w:val="002938DB"/>
    <w:rsid w:val="00293E6E"/>
    <w:rsid w:val="002949C9"/>
    <w:rsid w:val="002A1474"/>
    <w:rsid w:val="002A3406"/>
    <w:rsid w:val="002A37AA"/>
    <w:rsid w:val="002A38D5"/>
    <w:rsid w:val="002A3FE7"/>
    <w:rsid w:val="002A6FDA"/>
    <w:rsid w:val="002A7379"/>
    <w:rsid w:val="002B02D5"/>
    <w:rsid w:val="002B17E5"/>
    <w:rsid w:val="002B19BF"/>
    <w:rsid w:val="002B1C00"/>
    <w:rsid w:val="002B1D9D"/>
    <w:rsid w:val="002B363F"/>
    <w:rsid w:val="002C0D01"/>
    <w:rsid w:val="002C2501"/>
    <w:rsid w:val="002C2DB5"/>
    <w:rsid w:val="002C3465"/>
    <w:rsid w:val="002C3797"/>
    <w:rsid w:val="002C4C6B"/>
    <w:rsid w:val="002C5905"/>
    <w:rsid w:val="002C66DD"/>
    <w:rsid w:val="002D0274"/>
    <w:rsid w:val="002D484C"/>
    <w:rsid w:val="002E079E"/>
    <w:rsid w:val="002E08C1"/>
    <w:rsid w:val="002E24E3"/>
    <w:rsid w:val="002E4416"/>
    <w:rsid w:val="002E5F2F"/>
    <w:rsid w:val="002E78A3"/>
    <w:rsid w:val="002F0FF6"/>
    <w:rsid w:val="002F1249"/>
    <w:rsid w:val="002F4DE8"/>
    <w:rsid w:val="002F506A"/>
    <w:rsid w:val="003008C4"/>
    <w:rsid w:val="003030FF"/>
    <w:rsid w:val="0030359B"/>
    <w:rsid w:val="0030441E"/>
    <w:rsid w:val="00304E0A"/>
    <w:rsid w:val="00305DC6"/>
    <w:rsid w:val="0030743A"/>
    <w:rsid w:val="00307F6A"/>
    <w:rsid w:val="003115D5"/>
    <w:rsid w:val="003116C7"/>
    <w:rsid w:val="00313662"/>
    <w:rsid w:val="003141DE"/>
    <w:rsid w:val="003142D0"/>
    <w:rsid w:val="00314991"/>
    <w:rsid w:val="003153DE"/>
    <w:rsid w:val="0031545A"/>
    <w:rsid w:val="003158AF"/>
    <w:rsid w:val="003172AF"/>
    <w:rsid w:val="003176BB"/>
    <w:rsid w:val="00320188"/>
    <w:rsid w:val="003201E4"/>
    <w:rsid w:val="0032126D"/>
    <w:rsid w:val="0032241C"/>
    <w:rsid w:val="0032292D"/>
    <w:rsid w:val="003236EC"/>
    <w:rsid w:val="0032575C"/>
    <w:rsid w:val="00331A0C"/>
    <w:rsid w:val="00331B73"/>
    <w:rsid w:val="00331FF2"/>
    <w:rsid w:val="0033398B"/>
    <w:rsid w:val="0033523C"/>
    <w:rsid w:val="003401C6"/>
    <w:rsid w:val="003418CC"/>
    <w:rsid w:val="00341B4F"/>
    <w:rsid w:val="00341BB8"/>
    <w:rsid w:val="00341F09"/>
    <w:rsid w:val="003429D8"/>
    <w:rsid w:val="00344345"/>
    <w:rsid w:val="00346A13"/>
    <w:rsid w:val="0035101A"/>
    <w:rsid w:val="00351257"/>
    <w:rsid w:val="003522D7"/>
    <w:rsid w:val="00355D3E"/>
    <w:rsid w:val="003570AA"/>
    <w:rsid w:val="00357834"/>
    <w:rsid w:val="00364CC3"/>
    <w:rsid w:val="00364DDD"/>
    <w:rsid w:val="003657F3"/>
    <w:rsid w:val="003671D4"/>
    <w:rsid w:val="003706C0"/>
    <w:rsid w:val="003747D8"/>
    <w:rsid w:val="00376773"/>
    <w:rsid w:val="00377BE6"/>
    <w:rsid w:val="00381F59"/>
    <w:rsid w:val="00381FA9"/>
    <w:rsid w:val="003855F7"/>
    <w:rsid w:val="00385DD3"/>
    <w:rsid w:val="00387B93"/>
    <w:rsid w:val="003907F1"/>
    <w:rsid w:val="0039107A"/>
    <w:rsid w:val="0039183D"/>
    <w:rsid w:val="00391A26"/>
    <w:rsid w:val="00391C95"/>
    <w:rsid w:val="003924D8"/>
    <w:rsid w:val="0039318B"/>
    <w:rsid w:val="003932CD"/>
    <w:rsid w:val="00394A20"/>
    <w:rsid w:val="003962AA"/>
    <w:rsid w:val="003A0512"/>
    <w:rsid w:val="003A21A5"/>
    <w:rsid w:val="003A378D"/>
    <w:rsid w:val="003A3C5A"/>
    <w:rsid w:val="003A7175"/>
    <w:rsid w:val="003A76D2"/>
    <w:rsid w:val="003A7BA1"/>
    <w:rsid w:val="003B0164"/>
    <w:rsid w:val="003B1212"/>
    <w:rsid w:val="003B2463"/>
    <w:rsid w:val="003B251E"/>
    <w:rsid w:val="003B27A3"/>
    <w:rsid w:val="003B2AF3"/>
    <w:rsid w:val="003B4057"/>
    <w:rsid w:val="003B4439"/>
    <w:rsid w:val="003B5492"/>
    <w:rsid w:val="003B63F9"/>
    <w:rsid w:val="003C1A91"/>
    <w:rsid w:val="003C2444"/>
    <w:rsid w:val="003C4534"/>
    <w:rsid w:val="003C4936"/>
    <w:rsid w:val="003C6567"/>
    <w:rsid w:val="003C6B68"/>
    <w:rsid w:val="003C7371"/>
    <w:rsid w:val="003C78C2"/>
    <w:rsid w:val="003D02B4"/>
    <w:rsid w:val="003D134E"/>
    <w:rsid w:val="003D16D1"/>
    <w:rsid w:val="003E4350"/>
    <w:rsid w:val="003E65D9"/>
    <w:rsid w:val="003E6EA2"/>
    <w:rsid w:val="003E7683"/>
    <w:rsid w:val="003F19BE"/>
    <w:rsid w:val="003F23DD"/>
    <w:rsid w:val="003F3723"/>
    <w:rsid w:val="003F562A"/>
    <w:rsid w:val="003F6D76"/>
    <w:rsid w:val="003F7570"/>
    <w:rsid w:val="00400136"/>
    <w:rsid w:val="0040067D"/>
    <w:rsid w:val="0040337E"/>
    <w:rsid w:val="00405CCD"/>
    <w:rsid w:val="004112C2"/>
    <w:rsid w:val="00411FF2"/>
    <w:rsid w:val="00412EFA"/>
    <w:rsid w:val="00413904"/>
    <w:rsid w:val="00414F84"/>
    <w:rsid w:val="004167A4"/>
    <w:rsid w:val="00422B1E"/>
    <w:rsid w:val="00425C4C"/>
    <w:rsid w:val="00425ED8"/>
    <w:rsid w:val="004272CD"/>
    <w:rsid w:val="00430138"/>
    <w:rsid w:val="00430269"/>
    <w:rsid w:val="004347EB"/>
    <w:rsid w:val="00434BF1"/>
    <w:rsid w:val="00435EE5"/>
    <w:rsid w:val="00436790"/>
    <w:rsid w:val="0043722A"/>
    <w:rsid w:val="004372C2"/>
    <w:rsid w:val="004422C6"/>
    <w:rsid w:val="004424D0"/>
    <w:rsid w:val="00443A7B"/>
    <w:rsid w:val="0044431C"/>
    <w:rsid w:val="00446081"/>
    <w:rsid w:val="00446F19"/>
    <w:rsid w:val="00447AC0"/>
    <w:rsid w:val="00447CAE"/>
    <w:rsid w:val="00447D29"/>
    <w:rsid w:val="00450260"/>
    <w:rsid w:val="0045255F"/>
    <w:rsid w:val="00454708"/>
    <w:rsid w:val="0045620F"/>
    <w:rsid w:val="004562D8"/>
    <w:rsid w:val="00456918"/>
    <w:rsid w:val="0045784D"/>
    <w:rsid w:val="004578ED"/>
    <w:rsid w:val="00457A44"/>
    <w:rsid w:val="00457ABE"/>
    <w:rsid w:val="00457CFE"/>
    <w:rsid w:val="00460D8C"/>
    <w:rsid w:val="0046456F"/>
    <w:rsid w:val="00465C86"/>
    <w:rsid w:val="00470AF7"/>
    <w:rsid w:val="004726C6"/>
    <w:rsid w:val="0047279E"/>
    <w:rsid w:val="00476A2C"/>
    <w:rsid w:val="00477404"/>
    <w:rsid w:val="0047745F"/>
    <w:rsid w:val="0047795C"/>
    <w:rsid w:val="00482255"/>
    <w:rsid w:val="00482995"/>
    <w:rsid w:val="00482DA2"/>
    <w:rsid w:val="00483005"/>
    <w:rsid w:val="00490887"/>
    <w:rsid w:val="00490F6F"/>
    <w:rsid w:val="0049324C"/>
    <w:rsid w:val="00494646"/>
    <w:rsid w:val="00495A98"/>
    <w:rsid w:val="004974A9"/>
    <w:rsid w:val="00497AFA"/>
    <w:rsid w:val="004A038B"/>
    <w:rsid w:val="004A0887"/>
    <w:rsid w:val="004A114B"/>
    <w:rsid w:val="004A3861"/>
    <w:rsid w:val="004A4141"/>
    <w:rsid w:val="004A5ED2"/>
    <w:rsid w:val="004A6A2F"/>
    <w:rsid w:val="004B029A"/>
    <w:rsid w:val="004B0A26"/>
    <w:rsid w:val="004B1B6E"/>
    <w:rsid w:val="004B2119"/>
    <w:rsid w:val="004B25D1"/>
    <w:rsid w:val="004B57F0"/>
    <w:rsid w:val="004B6C37"/>
    <w:rsid w:val="004C03DA"/>
    <w:rsid w:val="004C3163"/>
    <w:rsid w:val="004C40C0"/>
    <w:rsid w:val="004C48EA"/>
    <w:rsid w:val="004C5F99"/>
    <w:rsid w:val="004C7ACE"/>
    <w:rsid w:val="004D024E"/>
    <w:rsid w:val="004D161C"/>
    <w:rsid w:val="004D1CAB"/>
    <w:rsid w:val="004D2126"/>
    <w:rsid w:val="004D490D"/>
    <w:rsid w:val="004D55E6"/>
    <w:rsid w:val="004D6595"/>
    <w:rsid w:val="004D7DD9"/>
    <w:rsid w:val="004E1009"/>
    <w:rsid w:val="004E161C"/>
    <w:rsid w:val="004E24D2"/>
    <w:rsid w:val="004E46BD"/>
    <w:rsid w:val="004E640F"/>
    <w:rsid w:val="004F095F"/>
    <w:rsid w:val="004F1C14"/>
    <w:rsid w:val="004F2393"/>
    <w:rsid w:val="004F24AB"/>
    <w:rsid w:val="004F29EF"/>
    <w:rsid w:val="004F2D5D"/>
    <w:rsid w:val="004F4942"/>
    <w:rsid w:val="004F6800"/>
    <w:rsid w:val="004F7B7B"/>
    <w:rsid w:val="00500262"/>
    <w:rsid w:val="00501553"/>
    <w:rsid w:val="0050218B"/>
    <w:rsid w:val="00503C11"/>
    <w:rsid w:val="00503D75"/>
    <w:rsid w:val="00505862"/>
    <w:rsid w:val="00506BDC"/>
    <w:rsid w:val="005076E7"/>
    <w:rsid w:val="00507956"/>
    <w:rsid w:val="005122E5"/>
    <w:rsid w:val="00516CDF"/>
    <w:rsid w:val="00517022"/>
    <w:rsid w:val="00517FA7"/>
    <w:rsid w:val="00520145"/>
    <w:rsid w:val="005222A7"/>
    <w:rsid w:val="00524259"/>
    <w:rsid w:val="00524426"/>
    <w:rsid w:val="00524695"/>
    <w:rsid w:val="00524A56"/>
    <w:rsid w:val="00524CBE"/>
    <w:rsid w:val="005254EE"/>
    <w:rsid w:val="0053311D"/>
    <w:rsid w:val="00534BE5"/>
    <w:rsid w:val="005379AF"/>
    <w:rsid w:val="0054222F"/>
    <w:rsid w:val="00543C91"/>
    <w:rsid w:val="005448FD"/>
    <w:rsid w:val="0054541E"/>
    <w:rsid w:val="00545EA4"/>
    <w:rsid w:val="00546BA9"/>
    <w:rsid w:val="0054729B"/>
    <w:rsid w:val="00550D8B"/>
    <w:rsid w:val="00551808"/>
    <w:rsid w:val="00552A65"/>
    <w:rsid w:val="005535DF"/>
    <w:rsid w:val="005536C1"/>
    <w:rsid w:val="0056038D"/>
    <w:rsid w:val="005613C3"/>
    <w:rsid w:val="00561EF8"/>
    <w:rsid w:val="00566938"/>
    <w:rsid w:val="00567E0E"/>
    <w:rsid w:val="00571C40"/>
    <w:rsid w:val="00576A76"/>
    <w:rsid w:val="00577539"/>
    <w:rsid w:val="00577777"/>
    <w:rsid w:val="0058035F"/>
    <w:rsid w:val="005806AB"/>
    <w:rsid w:val="00580AB2"/>
    <w:rsid w:val="005816E0"/>
    <w:rsid w:val="005820BD"/>
    <w:rsid w:val="00584D0C"/>
    <w:rsid w:val="00586759"/>
    <w:rsid w:val="00590F11"/>
    <w:rsid w:val="00591DF2"/>
    <w:rsid w:val="005929DF"/>
    <w:rsid w:val="005955FA"/>
    <w:rsid w:val="00597079"/>
    <w:rsid w:val="005A1151"/>
    <w:rsid w:val="005A1ACA"/>
    <w:rsid w:val="005A3541"/>
    <w:rsid w:val="005A3835"/>
    <w:rsid w:val="005A5082"/>
    <w:rsid w:val="005A6F92"/>
    <w:rsid w:val="005A7FC0"/>
    <w:rsid w:val="005B0408"/>
    <w:rsid w:val="005B0C53"/>
    <w:rsid w:val="005B0D01"/>
    <w:rsid w:val="005B421D"/>
    <w:rsid w:val="005B47FE"/>
    <w:rsid w:val="005B61A2"/>
    <w:rsid w:val="005B7A4C"/>
    <w:rsid w:val="005C1466"/>
    <w:rsid w:val="005C2F39"/>
    <w:rsid w:val="005C32D4"/>
    <w:rsid w:val="005C355F"/>
    <w:rsid w:val="005C38DE"/>
    <w:rsid w:val="005C6B1E"/>
    <w:rsid w:val="005D2078"/>
    <w:rsid w:val="005D33CE"/>
    <w:rsid w:val="005D3C57"/>
    <w:rsid w:val="005D5A35"/>
    <w:rsid w:val="005D6EC6"/>
    <w:rsid w:val="005D6F7E"/>
    <w:rsid w:val="005E1E27"/>
    <w:rsid w:val="005E24E5"/>
    <w:rsid w:val="005E4714"/>
    <w:rsid w:val="005F2233"/>
    <w:rsid w:val="005F33B8"/>
    <w:rsid w:val="005F5726"/>
    <w:rsid w:val="005F5909"/>
    <w:rsid w:val="005F66FB"/>
    <w:rsid w:val="005F6AC8"/>
    <w:rsid w:val="005F7A91"/>
    <w:rsid w:val="006000D1"/>
    <w:rsid w:val="006007A0"/>
    <w:rsid w:val="00600DDA"/>
    <w:rsid w:val="00603C1B"/>
    <w:rsid w:val="00604800"/>
    <w:rsid w:val="00605A78"/>
    <w:rsid w:val="00605A8E"/>
    <w:rsid w:val="00605BE6"/>
    <w:rsid w:val="006064E6"/>
    <w:rsid w:val="00610991"/>
    <w:rsid w:val="00611114"/>
    <w:rsid w:val="0061130D"/>
    <w:rsid w:val="006125AC"/>
    <w:rsid w:val="006145DD"/>
    <w:rsid w:val="00616807"/>
    <w:rsid w:val="00617613"/>
    <w:rsid w:val="0062462D"/>
    <w:rsid w:val="00624AD7"/>
    <w:rsid w:val="00625083"/>
    <w:rsid w:val="0062544D"/>
    <w:rsid w:val="00625951"/>
    <w:rsid w:val="00633C8B"/>
    <w:rsid w:val="00633FEF"/>
    <w:rsid w:val="006340E3"/>
    <w:rsid w:val="006345AC"/>
    <w:rsid w:val="00634634"/>
    <w:rsid w:val="00636B0E"/>
    <w:rsid w:val="006437CD"/>
    <w:rsid w:val="00645DF5"/>
    <w:rsid w:val="00646CCC"/>
    <w:rsid w:val="00647BDB"/>
    <w:rsid w:val="00647D00"/>
    <w:rsid w:val="00651B29"/>
    <w:rsid w:val="0065209C"/>
    <w:rsid w:val="00653268"/>
    <w:rsid w:val="00653BB9"/>
    <w:rsid w:val="00653C86"/>
    <w:rsid w:val="00657705"/>
    <w:rsid w:val="00660FBD"/>
    <w:rsid w:val="00663461"/>
    <w:rsid w:val="00665142"/>
    <w:rsid w:val="00666509"/>
    <w:rsid w:val="00666638"/>
    <w:rsid w:val="0067003C"/>
    <w:rsid w:val="00671E03"/>
    <w:rsid w:val="00672AEA"/>
    <w:rsid w:val="00673740"/>
    <w:rsid w:val="006749AA"/>
    <w:rsid w:val="00675FE7"/>
    <w:rsid w:val="006800E8"/>
    <w:rsid w:val="00682CE5"/>
    <w:rsid w:val="00683BF8"/>
    <w:rsid w:val="00684700"/>
    <w:rsid w:val="006850F4"/>
    <w:rsid w:val="00686BB6"/>
    <w:rsid w:val="00687AB9"/>
    <w:rsid w:val="0069067D"/>
    <w:rsid w:val="00692B16"/>
    <w:rsid w:val="00692D52"/>
    <w:rsid w:val="00694032"/>
    <w:rsid w:val="006958EE"/>
    <w:rsid w:val="006975CA"/>
    <w:rsid w:val="006A0E37"/>
    <w:rsid w:val="006A13E8"/>
    <w:rsid w:val="006A1A26"/>
    <w:rsid w:val="006A1E96"/>
    <w:rsid w:val="006A29C2"/>
    <w:rsid w:val="006A2E85"/>
    <w:rsid w:val="006A42DF"/>
    <w:rsid w:val="006A63D1"/>
    <w:rsid w:val="006A6BD5"/>
    <w:rsid w:val="006A77F1"/>
    <w:rsid w:val="006B1AC7"/>
    <w:rsid w:val="006B233A"/>
    <w:rsid w:val="006B2A7F"/>
    <w:rsid w:val="006B3140"/>
    <w:rsid w:val="006B4653"/>
    <w:rsid w:val="006B4BE6"/>
    <w:rsid w:val="006B4F0B"/>
    <w:rsid w:val="006B55C3"/>
    <w:rsid w:val="006B650D"/>
    <w:rsid w:val="006B6669"/>
    <w:rsid w:val="006C05D2"/>
    <w:rsid w:val="006C0F38"/>
    <w:rsid w:val="006C1AF3"/>
    <w:rsid w:val="006C22FE"/>
    <w:rsid w:val="006C2BD7"/>
    <w:rsid w:val="006C366B"/>
    <w:rsid w:val="006C4A8F"/>
    <w:rsid w:val="006C5A70"/>
    <w:rsid w:val="006C5C5C"/>
    <w:rsid w:val="006C6401"/>
    <w:rsid w:val="006C6CE6"/>
    <w:rsid w:val="006C7A6C"/>
    <w:rsid w:val="006C7E93"/>
    <w:rsid w:val="006D1679"/>
    <w:rsid w:val="006D193F"/>
    <w:rsid w:val="006D1FCF"/>
    <w:rsid w:val="006D28CC"/>
    <w:rsid w:val="006E04E0"/>
    <w:rsid w:val="006E1392"/>
    <w:rsid w:val="006E21E5"/>
    <w:rsid w:val="006E3CB6"/>
    <w:rsid w:val="006E6BF1"/>
    <w:rsid w:val="006F102C"/>
    <w:rsid w:val="006F12A2"/>
    <w:rsid w:val="006F2901"/>
    <w:rsid w:val="006F39FF"/>
    <w:rsid w:val="006F4E85"/>
    <w:rsid w:val="006F618B"/>
    <w:rsid w:val="006F6F12"/>
    <w:rsid w:val="00700063"/>
    <w:rsid w:val="0070045B"/>
    <w:rsid w:val="00700659"/>
    <w:rsid w:val="00700672"/>
    <w:rsid w:val="0070252D"/>
    <w:rsid w:val="0070473D"/>
    <w:rsid w:val="00706192"/>
    <w:rsid w:val="007079AE"/>
    <w:rsid w:val="00707CE6"/>
    <w:rsid w:val="007108CC"/>
    <w:rsid w:val="00712D7A"/>
    <w:rsid w:val="00716DB4"/>
    <w:rsid w:val="0071722B"/>
    <w:rsid w:val="007176FB"/>
    <w:rsid w:val="007228AF"/>
    <w:rsid w:val="00724767"/>
    <w:rsid w:val="00725CB9"/>
    <w:rsid w:val="0072799F"/>
    <w:rsid w:val="00727EBF"/>
    <w:rsid w:val="00730F9C"/>
    <w:rsid w:val="0073142F"/>
    <w:rsid w:val="00731B84"/>
    <w:rsid w:val="00732040"/>
    <w:rsid w:val="007328DE"/>
    <w:rsid w:val="007340C3"/>
    <w:rsid w:val="007350D0"/>
    <w:rsid w:val="00735496"/>
    <w:rsid w:val="00736543"/>
    <w:rsid w:val="007376EB"/>
    <w:rsid w:val="0074144A"/>
    <w:rsid w:val="00745CA1"/>
    <w:rsid w:val="00746586"/>
    <w:rsid w:val="00750002"/>
    <w:rsid w:val="00750388"/>
    <w:rsid w:val="00751F98"/>
    <w:rsid w:val="00752BD6"/>
    <w:rsid w:val="00755393"/>
    <w:rsid w:val="00755D07"/>
    <w:rsid w:val="007578B6"/>
    <w:rsid w:val="0076001B"/>
    <w:rsid w:val="00760DEA"/>
    <w:rsid w:val="007618CB"/>
    <w:rsid w:val="00763480"/>
    <w:rsid w:val="00764927"/>
    <w:rsid w:val="007649F2"/>
    <w:rsid w:val="00765113"/>
    <w:rsid w:val="00766EEA"/>
    <w:rsid w:val="00767930"/>
    <w:rsid w:val="0077026D"/>
    <w:rsid w:val="00773BD0"/>
    <w:rsid w:val="007747E2"/>
    <w:rsid w:val="007756A8"/>
    <w:rsid w:val="0077707A"/>
    <w:rsid w:val="00777BFA"/>
    <w:rsid w:val="00782712"/>
    <w:rsid w:val="00785187"/>
    <w:rsid w:val="0078568D"/>
    <w:rsid w:val="00790C85"/>
    <w:rsid w:val="0079126A"/>
    <w:rsid w:val="00791E0A"/>
    <w:rsid w:val="007929CB"/>
    <w:rsid w:val="00795BAF"/>
    <w:rsid w:val="00795E52"/>
    <w:rsid w:val="007A1914"/>
    <w:rsid w:val="007A581D"/>
    <w:rsid w:val="007A67E5"/>
    <w:rsid w:val="007A7D4F"/>
    <w:rsid w:val="007B066B"/>
    <w:rsid w:val="007B24EC"/>
    <w:rsid w:val="007B2949"/>
    <w:rsid w:val="007B4002"/>
    <w:rsid w:val="007C0FA4"/>
    <w:rsid w:val="007C1D7D"/>
    <w:rsid w:val="007C2436"/>
    <w:rsid w:val="007C40BB"/>
    <w:rsid w:val="007C54A5"/>
    <w:rsid w:val="007C579B"/>
    <w:rsid w:val="007C6DFF"/>
    <w:rsid w:val="007D07C4"/>
    <w:rsid w:val="007D7CC9"/>
    <w:rsid w:val="007E0101"/>
    <w:rsid w:val="007E09AE"/>
    <w:rsid w:val="007E37E7"/>
    <w:rsid w:val="007E3DA3"/>
    <w:rsid w:val="007F08E8"/>
    <w:rsid w:val="007F0C28"/>
    <w:rsid w:val="007F10A3"/>
    <w:rsid w:val="007F18E6"/>
    <w:rsid w:val="007F1D76"/>
    <w:rsid w:val="007F23E9"/>
    <w:rsid w:val="007F270C"/>
    <w:rsid w:val="007F4AF6"/>
    <w:rsid w:val="007F551B"/>
    <w:rsid w:val="00801596"/>
    <w:rsid w:val="008021A4"/>
    <w:rsid w:val="00803540"/>
    <w:rsid w:val="00803740"/>
    <w:rsid w:val="00803CB9"/>
    <w:rsid w:val="008048D3"/>
    <w:rsid w:val="00804E82"/>
    <w:rsid w:val="00805986"/>
    <w:rsid w:val="00805F12"/>
    <w:rsid w:val="008066B5"/>
    <w:rsid w:val="00807E25"/>
    <w:rsid w:val="00816C76"/>
    <w:rsid w:val="008173A8"/>
    <w:rsid w:val="0082061D"/>
    <w:rsid w:val="0082310B"/>
    <w:rsid w:val="00825EEF"/>
    <w:rsid w:val="0083027A"/>
    <w:rsid w:val="00831B6E"/>
    <w:rsid w:val="008327BD"/>
    <w:rsid w:val="00834846"/>
    <w:rsid w:val="00834852"/>
    <w:rsid w:val="00834FEA"/>
    <w:rsid w:val="00836BD6"/>
    <w:rsid w:val="00836E82"/>
    <w:rsid w:val="00844112"/>
    <w:rsid w:val="00845B94"/>
    <w:rsid w:val="00846BEE"/>
    <w:rsid w:val="00850242"/>
    <w:rsid w:val="00850779"/>
    <w:rsid w:val="0085088C"/>
    <w:rsid w:val="008516B4"/>
    <w:rsid w:val="00852DDA"/>
    <w:rsid w:val="00852FCC"/>
    <w:rsid w:val="0085323C"/>
    <w:rsid w:val="008535C6"/>
    <w:rsid w:val="008547DA"/>
    <w:rsid w:val="00854AA5"/>
    <w:rsid w:val="00854CAA"/>
    <w:rsid w:val="00855498"/>
    <w:rsid w:val="0085626D"/>
    <w:rsid w:val="0085695B"/>
    <w:rsid w:val="00860E07"/>
    <w:rsid w:val="00860EAC"/>
    <w:rsid w:val="0086150A"/>
    <w:rsid w:val="00862547"/>
    <w:rsid w:val="00862F6B"/>
    <w:rsid w:val="00863CD0"/>
    <w:rsid w:val="00863DAD"/>
    <w:rsid w:val="00864765"/>
    <w:rsid w:val="00866C14"/>
    <w:rsid w:val="0086770E"/>
    <w:rsid w:val="008710E7"/>
    <w:rsid w:val="008713B7"/>
    <w:rsid w:val="00871C70"/>
    <w:rsid w:val="008725C5"/>
    <w:rsid w:val="008737F5"/>
    <w:rsid w:val="00875832"/>
    <w:rsid w:val="00875854"/>
    <w:rsid w:val="00876186"/>
    <w:rsid w:val="0087648B"/>
    <w:rsid w:val="008772E9"/>
    <w:rsid w:val="00877815"/>
    <w:rsid w:val="008800BF"/>
    <w:rsid w:val="00882D52"/>
    <w:rsid w:val="0088362E"/>
    <w:rsid w:val="008851A1"/>
    <w:rsid w:val="00886280"/>
    <w:rsid w:val="008921F6"/>
    <w:rsid w:val="00894194"/>
    <w:rsid w:val="008951BE"/>
    <w:rsid w:val="00896891"/>
    <w:rsid w:val="00896C88"/>
    <w:rsid w:val="00897B41"/>
    <w:rsid w:val="00897D6D"/>
    <w:rsid w:val="008A08F5"/>
    <w:rsid w:val="008A146A"/>
    <w:rsid w:val="008A1D4C"/>
    <w:rsid w:val="008A3E2E"/>
    <w:rsid w:val="008A4E0B"/>
    <w:rsid w:val="008A4ED7"/>
    <w:rsid w:val="008B1CDC"/>
    <w:rsid w:val="008B2D8C"/>
    <w:rsid w:val="008B4026"/>
    <w:rsid w:val="008B4C6D"/>
    <w:rsid w:val="008B5EA4"/>
    <w:rsid w:val="008C0C60"/>
    <w:rsid w:val="008C2B74"/>
    <w:rsid w:val="008C2D86"/>
    <w:rsid w:val="008C3599"/>
    <w:rsid w:val="008C3771"/>
    <w:rsid w:val="008C5477"/>
    <w:rsid w:val="008C5710"/>
    <w:rsid w:val="008C72AC"/>
    <w:rsid w:val="008D18EC"/>
    <w:rsid w:val="008D2904"/>
    <w:rsid w:val="008D5044"/>
    <w:rsid w:val="008D6109"/>
    <w:rsid w:val="008D6168"/>
    <w:rsid w:val="008D6559"/>
    <w:rsid w:val="008D7ECB"/>
    <w:rsid w:val="008D7F81"/>
    <w:rsid w:val="008E0BD8"/>
    <w:rsid w:val="008E1A50"/>
    <w:rsid w:val="008E256C"/>
    <w:rsid w:val="008E416B"/>
    <w:rsid w:val="008E465E"/>
    <w:rsid w:val="008E68E2"/>
    <w:rsid w:val="008E6E31"/>
    <w:rsid w:val="008E7F76"/>
    <w:rsid w:val="008F0FB7"/>
    <w:rsid w:val="008F1502"/>
    <w:rsid w:val="008F1624"/>
    <w:rsid w:val="008F1BC5"/>
    <w:rsid w:val="008F257C"/>
    <w:rsid w:val="008F2C48"/>
    <w:rsid w:val="008F2F6D"/>
    <w:rsid w:val="008F3279"/>
    <w:rsid w:val="008F3BD6"/>
    <w:rsid w:val="008F3CBA"/>
    <w:rsid w:val="008F4855"/>
    <w:rsid w:val="008F6391"/>
    <w:rsid w:val="008F674D"/>
    <w:rsid w:val="00901749"/>
    <w:rsid w:val="0090316C"/>
    <w:rsid w:val="00903AE2"/>
    <w:rsid w:val="00903AF4"/>
    <w:rsid w:val="0090594C"/>
    <w:rsid w:val="00906491"/>
    <w:rsid w:val="0091220E"/>
    <w:rsid w:val="009124E9"/>
    <w:rsid w:val="0091341C"/>
    <w:rsid w:val="00915FC5"/>
    <w:rsid w:val="00916A0D"/>
    <w:rsid w:val="0091730E"/>
    <w:rsid w:val="0091775B"/>
    <w:rsid w:val="00917B44"/>
    <w:rsid w:val="00922105"/>
    <w:rsid w:val="009228C9"/>
    <w:rsid w:val="00924C92"/>
    <w:rsid w:val="00925B7A"/>
    <w:rsid w:val="009302DA"/>
    <w:rsid w:val="00930808"/>
    <w:rsid w:val="00931EA8"/>
    <w:rsid w:val="00933562"/>
    <w:rsid w:val="00933F9C"/>
    <w:rsid w:val="009342F0"/>
    <w:rsid w:val="0093573C"/>
    <w:rsid w:val="00935A92"/>
    <w:rsid w:val="009414F9"/>
    <w:rsid w:val="00941CB3"/>
    <w:rsid w:val="009425ED"/>
    <w:rsid w:val="00942CE1"/>
    <w:rsid w:val="0094315E"/>
    <w:rsid w:val="00943828"/>
    <w:rsid w:val="00945DDC"/>
    <w:rsid w:val="00947F4F"/>
    <w:rsid w:val="009531E2"/>
    <w:rsid w:val="00954DF7"/>
    <w:rsid w:val="009551F1"/>
    <w:rsid w:val="00955449"/>
    <w:rsid w:val="00957164"/>
    <w:rsid w:val="0095777F"/>
    <w:rsid w:val="00960F01"/>
    <w:rsid w:val="00960F20"/>
    <w:rsid w:val="009633A5"/>
    <w:rsid w:val="00964C45"/>
    <w:rsid w:val="00966185"/>
    <w:rsid w:val="0096632F"/>
    <w:rsid w:val="00970837"/>
    <w:rsid w:val="00972A77"/>
    <w:rsid w:val="00973446"/>
    <w:rsid w:val="00973DE1"/>
    <w:rsid w:val="00973E57"/>
    <w:rsid w:val="00976279"/>
    <w:rsid w:val="00976696"/>
    <w:rsid w:val="00977884"/>
    <w:rsid w:val="00981967"/>
    <w:rsid w:val="00985B4C"/>
    <w:rsid w:val="00987330"/>
    <w:rsid w:val="00987792"/>
    <w:rsid w:val="00990A69"/>
    <w:rsid w:val="00990B1F"/>
    <w:rsid w:val="00990CB9"/>
    <w:rsid w:val="009935C1"/>
    <w:rsid w:val="009963EC"/>
    <w:rsid w:val="0099671C"/>
    <w:rsid w:val="009970DE"/>
    <w:rsid w:val="009A0EFB"/>
    <w:rsid w:val="009A221F"/>
    <w:rsid w:val="009A28FF"/>
    <w:rsid w:val="009A3A93"/>
    <w:rsid w:val="009A47F1"/>
    <w:rsid w:val="009B061F"/>
    <w:rsid w:val="009B45F6"/>
    <w:rsid w:val="009B4FDD"/>
    <w:rsid w:val="009B5A98"/>
    <w:rsid w:val="009C1048"/>
    <w:rsid w:val="009C2D03"/>
    <w:rsid w:val="009C48C0"/>
    <w:rsid w:val="009C49FB"/>
    <w:rsid w:val="009C5F90"/>
    <w:rsid w:val="009C62DB"/>
    <w:rsid w:val="009C7E37"/>
    <w:rsid w:val="009D3289"/>
    <w:rsid w:val="009D69A2"/>
    <w:rsid w:val="009E0A21"/>
    <w:rsid w:val="009E1C5C"/>
    <w:rsid w:val="009E3A64"/>
    <w:rsid w:val="009E4333"/>
    <w:rsid w:val="009E5081"/>
    <w:rsid w:val="009E5867"/>
    <w:rsid w:val="009F1A7C"/>
    <w:rsid w:val="009F62E0"/>
    <w:rsid w:val="009F77BA"/>
    <w:rsid w:val="00A01654"/>
    <w:rsid w:val="00A02091"/>
    <w:rsid w:val="00A058D1"/>
    <w:rsid w:val="00A068F3"/>
    <w:rsid w:val="00A105B2"/>
    <w:rsid w:val="00A108BA"/>
    <w:rsid w:val="00A12F1E"/>
    <w:rsid w:val="00A16EDF"/>
    <w:rsid w:val="00A17E41"/>
    <w:rsid w:val="00A21083"/>
    <w:rsid w:val="00A21206"/>
    <w:rsid w:val="00A25C3E"/>
    <w:rsid w:val="00A278D2"/>
    <w:rsid w:val="00A308D8"/>
    <w:rsid w:val="00A30D60"/>
    <w:rsid w:val="00A319F2"/>
    <w:rsid w:val="00A357EA"/>
    <w:rsid w:val="00A36CA7"/>
    <w:rsid w:val="00A40006"/>
    <w:rsid w:val="00A400A3"/>
    <w:rsid w:val="00A404C2"/>
    <w:rsid w:val="00A41B47"/>
    <w:rsid w:val="00A42489"/>
    <w:rsid w:val="00A45016"/>
    <w:rsid w:val="00A45A26"/>
    <w:rsid w:val="00A462CD"/>
    <w:rsid w:val="00A4781D"/>
    <w:rsid w:val="00A47D62"/>
    <w:rsid w:val="00A5010F"/>
    <w:rsid w:val="00A50D8F"/>
    <w:rsid w:val="00A51309"/>
    <w:rsid w:val="00A518B8"/>
    <w:rsid w:val="00A54BB0"/>
    <w:rsid w:val="00A5535F"/>
    <w:rsid w:val="00A56276"/>
    <w:rsid w:val="00A57BD0"/>
    <w:rsid w:val="00A60417"/>
    <w:rsid w:val="00A60F55"/>
    <w:rsid w:val="00A703CA"/>
    <w:rsid w:val="00A70D58"/>
    <w:rsid w:val="00A74A9A"/>
    <w:rsid w:val="00A76473"/>
    <w:rsid w:val="00A808DC"/>
    <w:rsid w:val="00A8289D"/>
    <w:rsid w:val="00A851B4"/>
    <w:rsid w:val="00A85413"/>
    <w:rsid w:val="00A857D2"/>
    <w:rsid w:val="00A86062"/>
    <w:rsid w:val="00A86BCF"/>
    <w:rsid w:val="00A87769"/>
    <w:rsid w:val="00A92D08"/>
    <w:rsid w:val="00A9372B"/>
    <w:rsid w:val="00A93CF3"/>
    <w:rsid w:val="00A94474"/>
    <w:rsid w:val="00A95E5E"/>
    <w:rsid w:val="00A95FA9"/>
    <w:rsid w:val="00A976AF"/>
    <w:rsid w:val="00A9797D"/>
    <w:rsid w:val="00AA041E"/>
    <w:rsid w:val="00AA19B7"/>
    <w:rsid w:val="00AA2843"/>
    <w:rsid w:val="00AA3975"/>
    <w:rsid w:val="00AA4ECC"/>
    <w:rsid w:val="00AA7B4D"/>
    <w:rsid w:val="00AA7E15"/>
    <w:rsid w:val="00AB0833"/>
    <w:rsid w:val="00AB0B31"/>
    <w:rsid w:val="00AB1510"/>
    <w:rsid w:val="00AB1876"/>
    <w:rsid w:val="00AB2B2F"/>
    <w:rsid w:val="00AB4E53"/>
    <w:rsid w:val="00AB58FA"/>
    <w:rsid w:val="00AB5DD6"/>
    <w:rsid w:val="00AB74E6"/>
    <w:rsid w:val="00AC16EF"/>
    <w:rsid w:val="00AC2480"/>
    <w:rsid w:val="00AC7146"/>
    <w:rsid w:val="00AC716F"/>
    <w:rsid w:val="00AD16AF"/>
    <w:rsid w:val="00AD1CE4"/>
    <w:rsid w:val="00AD1EAB"/>
    <w:rsid w:val="00AD309B"/>
    <w:rsid w:val="00AD5154"/>
    <w:rsid w:val="00AD79B4"/>
    <w:rsid w:val="00AE0DC5"/>
    <w:rsid w:val="00AE3044"/>
    <w:rsid w:val="00AE4C06"/>
    <w:rsid w:val="00AE5D82"/>
    <w:rsid w:val="00AF1208"/>
    <w:rsid w:val="00AF75FC"/>
    <w:rsid w:val="00B0021D"/>
    <w:rsid w:val="00B01A97"/>
    <w:rsid w:val="00B02A3F"/>
    <w:rsid w:val="00B0500E"/>
    <w:rsid w:val="00B05398"/>
    <w:rsid w:val="00B06308"/>
    <w:rsid w:val="00B07BA6"/>
    <w:rsid w:val="00B117A9"/>
    <w:rsid w:val="00B11935"/>
    <w:rsid w:val="00B11F25"/>
    <w:rsid w:val="00B136CD"/>
    <w:rsid w:val="00B13E1D"/>
    <w:rsid w:val="00B1569A"/>
    <w:rsid w:val="00B15830"/>
    <w:rsid w:val="00B15A40"/>
    <w:rsid w:val="00B20FDA"/>
    <w:rsid w:val="00B21250"/>
    <w:rsid w:val="00B23183"/>
    <w:rsid w:val="00B25E80"/>
    <w:rsid w:val="00B26977"/>
    <w:rsid w:val="00B27921"/>
    <w:rsid w:val="00B325BC"/>
    <w:rsid w:val="00B3517A"/>
    <w:rsid w:val="00B352C1"/>
    <w:rsid w:val="00B41031"/>
    <w:rsid w:val="00B414DB"/>
    <w:rsid w:val="00B4278C"/>
    <w:rsid w:val="00B43945"/>
    <w:rsid w:val="00B43CCF"/>
    <w:rsid w:val="00B4499D"/>
    <w:rsid w:val="00B45D63"/>
    <w:rsid w:val="00B4738A"/>
    <w:rsid w:val="00B54667"/>
    <w:rsid w:val="00B57343"/>
    <w:rsid w:val="00B57C13"/>
    <w:rsid w:val="00B60F15"/>
    <w:rsid w:val="00B6176B"/>
    <w:rsid w:val="00B63869"/>
    <w:rsid w:val="00B63ED4"/>
    <w:rsid w:val="00B643E0"/>
    <w:rsid w:val="00B70332"/>
    <w:rsid w:val="00B70974"/>
    <w:rsid w:val="00B72798"/>
    <w:rsid w:val="00B739CB"/>
    <w:rsid w:val="00B73F74"/>
    <w:rsid w:val="00B805CD"/>
    <w:rsid w:val="00B81C33"/>
    <w:rsid w:val="00B84FEF"/>
    <w:rsid w:val="00B87731"/>
    <w:rsid w:val="00B87A81"/>
    <w:rsid w:val="00B91723"/>
    <w:rsid w:val="00B91E61"/>
    <w:rsid w:val="00B92D8E"/>
    <w:rsid w:val="00B93575"/>
    <w:rsid w:val="00B9386A"/>
    <w:rsid w:val="00B960AA"/>
    <w:rsid w:val="00B96919"/>
    <w:rsid w:val="00BA0C04"/>
    <w:rsid w:val="00BA1B29"/>
    <w:rsid w:val="00BA1EDE"/>
    <w:rsid w:val="00BA28A4"/>
    <w:rsid w:val="00BA3369"/>
    <w:rsid w:val="00BA3597"/>
    <w:rsid w:val="00BA3FC7"/>
    <w:rsid w:val="00BA4289"/>
    <w:rsid w:val="00BA458A"/>
    <w:rsid w:val="00BA4AC5"/>
    <w:rsid w:val="00BA4E44"/>
    <w:rsid w:val="00BB4258"/>
    <w:rsid w:val="00BB4BE2"/>
    <w:rsid w:val="00BC398B"/>
    <w:rsid w:val="00BC3C88"/>
    <w:rsid w:val="00BC425F"/>
    <w:rsid w:val="00BC52B6"/>
    <w:rsid w:val="00BC6172"/>
    <w:rsid w:val="00BC7B04"/>
    <w:rsid w:val="00BD02C5"/>
    <w:rsid w:val="00BD0FD9"/>
    <w:rsid w:val="00BD50BF"/>
    <w:rsid w:val="00BD5D5E"/>
    <w:rsid w:val="00BD69E3"/>
    <w:rsid w:val="00BD6B21"/>
    <w:rsid w:val="00BD6F0C"/>
    <w:rsid w:val="00BD720E"/>
    <w:rsid w:val="00BD7B10"/>
    <w:rsid w:val="00BD7E63"/>
    <w:rsid w:val="00BE0360"/>
    <w:rsid w:val="00BE1C97"/>
    <w:rsid w:val="00BE3855"/>
    <w:rsid w:val="00BE51D3"/>
    <w:rsid w:val="00BE59B4"/>
    <w:rsid w:val="00BE6D16"/>
    <w:rsid w:val="00BE7A5E"/>
    <w:rsid w:val="00BE7DC9"/>
    <w:rsid w:val="00BF02D4"/>
    <w:rsid w:val="00BF1949"/>
    <w:rsid w:val="00BF23A9"/>
    <w:rsid w:val="00BF30CD"/>
    <w:rsid w:val="00BF4471"/>
    <w:rsid w:val="00BF59DF"/>
    <w:rsid w:val="00BF5CF0"/>
    <w:rsid w:val="00BF6A37"/>
    <w:rsid w:val="00BF767A"/>
    <w:rsid w:val="00BF7B17"/>
    <w:rsid w:val="00C00579"/>
    <w:rsid w:val="00C00F9C"/>
    <w:rsid w:val="00C01122"/>
    <w:rsid w:val="00C01F21"/>
    <w:rsid w:val="00C0262E"/>
    <w:rsid w:val="00C027CC"/>
    <w:rsid w:val="00C05F23"/>
    <w:rsid w:val="00C07084"/>
    <w:rsid w:val="00C071B6"/>
    <w:rsid w:val="00C10C61"/>
    <w:rsid w:val="00C11743"/>
    <w:rsid w:val="00C11951"/>
    <w:rsid w:val="00C123A4"/>
    <w:rsid w:val="00C1378B"/>
    <w:rsid w:val="00C1737A"/>
    <w:rsid w:val="00C17B37"/>
    <w:rsid w:val="00C203B8"/>
    <w:rsid w:val="00C20A65"/>
    <w:rsid w:val="00C21785"/>
    <w:rsid w:val="00C22753"/>
    <w:rsid w:val="00C27516"/>
    <w:rsid w:val="00C328D3"/>
    <w:rsid w:val="00C349C7"/>
    <w:rsid w:val="00C35975"/>
    <w:rsid w:val="00C36117"/>
    <w:rsid w:val="00C3746B"/>
    <w:rsid w:val="00C37528"/>
    <w:rsid w:val="00C40460"/>
    <w:rsid w:val="00C40859"/>
    <w:rsid w:val="00C421C1"/>
    <w:rsid w:val="00C426D8"/>
    <w:rsid w:val="00C4282A"/>
    <w:rsid w:val="00C44B1B"/>
    <w:rsid w:val="00C463DC"/>
    <w:rsid w:val="00C46B14"/>
    <w:rsid w:val="00C46E76"/>
    <w:rsid w:val="00C47D54"/>
    <w:rsid w:val="00C47FDE"/>
    <w:rsid w:val="00C50784"/>
    <w:rsid w:val="00C50EB7"/>
    <w:rsid w:val="00C514F5"/>
    <w:rsid w:val="00C52E9F"/>
    <w:rsid w:val="00C55A51"/>
    <w:rsid w:val="00C628EE"/>
    <w:rsid w:val="00C67D29"/>
    <w:rsid w:val="00C7054C"/>
    <w:rsid w:val="00C82197"/>
    <w:rsid w:val="00C82E50"/>
    <w:rsid w:val="00C83E24"/>
    <w:rsid w:val="00C84739"/>
    <w:rsid w:val="00C86D7E"/>
    <w:rsid w:val="00C90856"/>
    <w:rsid w:val="00C90C59"/>
    <w:rsid w:val="00C90CB2"/>
    <w:rsid w:val="00C92679"/>
    <w:rsid w:val="00C94A87"/>
    <w:rsid w:val="00C965B8"/>
    <w:rsid w:val="00C9665E"/>
    <w:rsid w:val="00C96791"/>
    <w:rsid w:val="00C96968"/>
    <w:rsid w:val="00C96C96"/>
    <w:rsid w:val="00C97956"/>
    <w:rsid w:val="00CA029C"/>
    <w:rsid w:val="00CA2A74"/>
    <w:rsid w:val="00CA3341"/>
    <w:rsid w:val="00CA3416"/>
    <w:rsid w:val="00CA36A8"/>
    <w:rsid w:val="00CA52ED"/>
    <w:rsid w:val="00CA7AEB"/>
    <w:rsid w:val="00CB0235"/>
    <w:rsid w:val="00CB118A"/>
    <w:rsid w:val="00CB26ED"/>
    <w:rsid w:val="00CB2EE7"/>
    <w:rsid w:val="00CB3B73"/>
    <w:rsid w:val="00CB3FF7"/>
    <w:rsid w:val="00CB4444"/>
    <w:rsid w:val="00CB78F2"/>
    <w:rsid w:val="00CC209C"/>
    <w:rsid w:val="00CC4156"/>
    <w:rsid w:val="00CC4DE0"/>
    <w:rsid w:val="00CC55C7"/>
    <w:rsid w:val="00CC6DD2"/>
    <w:rsid w:val="00CC730F"/>
    <w:rsid w:val="00CD5270"/>
    <w:rsid w:val="00CD693E"/>
    <w:rsid w:val="00CD7193"/>
    <w:rsid w:val="00CD73D6"/>
    <w:rsid w:val="00CE008D"/>
    <w:rsid w:val="00CE1447"/>
    <w:rsid w:val="00CE20CB"/>
    <w:rsid w:val="00CE389E"/>
    <w:rsid w:val="00CE778C"/>
    <w:rsid w:val="00CF1314"/>
    <w:rsid w:val="00CF13BD"/>
    <w:rsid w:val="00CF195D"/>
    <w:rsid w:val="00CF57A7"/>
    <w:rsid w:val="00CF5ABE"/>
    <w:rsid w:val="00CF5F9E"/>
    <w:rsid w:val="00CF75EF"/>
    <w:rsid w:val="00CF78B2"/>
    <w:rsid w:val="00D003A6"/>
    <w:rsid w:val="00D00A30"/>
    <w:rsid w:val="00D00B86"/>
    <w:rsid w:val="00D02AAC"/>
    <w:rsid w:val="00D03103"/>
    <w:rsid w:val="00D0314D"/>
    <w:rsid w:val="00D03AFB"/>
    <w:rsid w:val="00D05710"/>
    <w:rsid w:val="00D066E3"/>
    <w:rsid w:val="00D110A7"/>
    <w:rsid w:val="00D11E7A"/>
    <w:rsid w:val="00D11F33"/>
    <w:rsid w:val="00D121C4"/>
    <w:rsid w:val="00D14612"/>
    <w:rsid w:val="00D15C5B"/>
    <w:rsid w:val="00D160DF"/>
    <w:rsid w:val="00D16C83"/>
    <w:rsid w:val="00D17D55"/>
    <w:rsid w:val="00D2203F"/>
    <w:rsid w:val="00D244D5"/>
    <w:rsid w:val="00D254C6"/>
    <w:rsid w:val="00D2689F"/>
    <w:rsid w:val="00D26DEF"/>
    <w:rsid w:val="00D27C31"/>
    <w:rsid w:val="00D30F65"/>
    <w:rsid w:val="00D31496"/>
    <w:rsid w:val="00D31B44"/>
    <w:rsid w:val="00D32118"/>
    <w:rsid w:val="00D32B2A"/>
    <w:rsid w:val="00D3512C"/>
    <w:rsid w:val="00D35846"/>
    <w:rsid w:val="00D35B27"/>
    <w:rsid w:val="00D40B38"/>
    <w:rsid w:val="00D43408"/>
    <w:rsid w:val="00D440AE"/>
    <w:rsid w:val="00D4479D"/>
    <w:rsid w:val="00D503E3"/>
    <w:rsid w:val="00D569F5"/>
    <w:rsid w:val="00D60CAB"/>
    <w:rsid w:val="00D6100A"/>
    <w:rsid w:val="00D620F0"/>
    <w:rsid w:val="00D62A1A"/>
    <w:rsid w:val="00D6395E"/>
    <w:rsid w:val="00D6611C"/>
    <w:rsid w:val="00D6613C"/>
    <w:rsid w:val="00D67B15"/>
    <w:rsid w:val="00D71F14"/>
    <w:rsid w:val="00D745C3"/>
    <w:rsid w:val="00D750C8"/>
    <w:rsid w:val="00D8140E"/>
    <w:rsid w:val="00D830BF"/>
    <w:rsid w:val="00D83FEE"/>
    <w:rsid w:val="00D85E3F"/>
    <w:rsid w:val="00D87E5C"/>
    <w:rsid w:val="00D91B23"/>
    <w:rsid w:val="00D928C0"/>
    <w:rsid w:val="00D92C20"/>
    <w:rsid w:val="00D92C8E"/>
    <w:rsid w:val="00D92D15"/>
    <w:rsid w:val="00D92D5E"/>
    <w:rsid w:val="00D93B28"/>
    <w:rsid w:val="00D93B34"/>
    <w:rsid w:val="00D93CF4"/>
    <w:rsid w:val="00D944D2"/>
    <w:rsid w:val="00D9480C"/>
    <w:rsid w:val="00D97A83"/>
    <w:rsid w:val="00DA15B1"/>
    <w:rsid w:val="00DA1606"/>
    <w:rsid w:val="00DA4335"/>
    <w:rsid w:val="00DA609E"/>
    <w:rsid w:val="00DA7B45"/>
    <w:rsid w:val="00DB012D"/>
    <w:rsid w:val="00DB2255"/>
    <w:rsid w:val="00DB2BCE"/>
    <w:rsid w:val="00DB3146"/>
    <w:rsid w:val="00DB4686"/>
    <w:rsid w:val="00DB508D"/>
    <w:rsid w:val="00DB5D54"/>
    <w:rsid w:val="00DC13D4"/>
    <w:rsid w:val="00DC25F7"/>
    <w:rsid w:val="00DC26B7"/>
    <w:rsid w:val="00DC434C"/>
    <w:rsid w:val="00DC529A"/>
    <w:rsid w:val="00DC6450"/>
    <w:rsid w:val="00DC7114"/>
    <w:rsid w:val="00DD20D2"/>
    <w:rsid w:val="00DD4014"/>
    <w:rsid w:val="00DD40DD"/>
    <w:rsid w:val="00DD58D9"/>
    <w:rsid w:val="00DD5A03"/>
    <w:rsid w:val="00DE1798"/>
    <w:rsid w:val="00DE2B50"/>
    <w:rsid w:val="00DE3596"/>
    <w:rsid w:val="00DE3619"/>
    <w:rsid w:val="00DE48E8"/>
    <w:rsid w:val="00DE6F67"/>
    <w:rsid w:val="00DE7A4A"/>
    <w:rsid w:val="00DE7CC8"/>
    <w:rsid w:val="00DF0140"/>
    <w:rsid w:val="00DF3957"/>
    <w:rsid w:val="00DF3C4F"/>
    <w:rsid w:val="00DF4DCC"/>
    <w:rsid w:val="00DF4E3C"/>
    <w:rsid w:val="00DF54A7"/>
    <w:rsid w:val="00E028C0"/>
    <w:rsid w:val="00E04A10"/>
    <w:rsid w:val="00E05C32"/>
    <w:rsid w:val="00E1027F"/>
    <w:rsid w:val="00E14B26"/>
    <w:rsid w:val="00E16457"/>
    <w:rsid w:val="00E16DCF"/>
    <w:rsid w:val="00E176F4"/>
    <w:rsid w:val="00E17B05"/>
    <w:rsid w:val="00E24A8E"/>
    <w:rsid w:val="00E250CD"/>
    <w:rsid w:val="00E25141"/>
    <w:rsid w:val="00E259B3"/>
    <w:rsid w:val="00E25D51"/>
    <w:rsid w:val="00E266D3"/>
    <w:rsid w:val="00E30BED"/>
    <w:rsid w:val="00E31B0A"/>
    <w:rsid w:val="00E34459"/>
    <w:rsid w:val="00E34729"/>
    <w:rsid w:val="00E35B58"/>
    <w:rsid w:val="00E35C41"/>
    <w:rsid w:val="00E3608B"/>
    <w:rsid w:val="00E36D57"/>
    <w:rsid w:val="00E372E1"/>
    <w:rsid w:val="00E4074B"/>
    <w:rsid w:val="00E4334C"/>
    <w:rsid w:val="00E4441C"/>
    <w:rsid w:val="00E4458E"/>
    <w:rsid w:val="00E44E97"/>
    <w:rsid w:val="00E47D0E"/>
    <w:rsid w:val="00E52676"/>
    <w:rsid w:val="00E5319D"/>
    <w:rsid w:val="00E53A69"/>
    <w:rsid w:val="00E54EC6"/>
    <w:rsid w:val="00E554B5"/>
    <w:rsid w:val="00E574DA"/>
    <w:rsid w:val="00E601B0"/>
    <w:rsid w:val="00E63095"/>
    <w:rsid w:val="00E6406B"/>
    <w:rsid w:val="00E647D2"/>
    <w:rsid w:val="00E64F19"/>
    <w:rsid w:val="00E66561"/>
    <w:rsid w:val="00E726F3"/>
    <w:rsid w:val="00E75B1B"/>
    <w:rsid w:val="00E7626B"/>
    <w:rsid w:val="00E76A2E"/>
    <w:rsid w:val="00E77A95"/>
    <w:rsid w:val="00E80578"/>
    <w:rsid w:val="00E8393A"/>
    <w:rsid w:val="00E86224"/>
    <w:rsid w:val="00E879F2"/>
    <w:rsid w:val="00E90809"/>
    <w:rsid w:val="00E91596"/>
    <w:rsid w:val="00E91D70"/>
    <w:rsid w:val="00E94581"/>
    <w:rsid w:val="00E95DA4"/>
    <w:rsid w:val="00E97750"/>
    <w:rsid w:val="00EA3DAF"/>
    <w:rsid w:val="00EA4FAA"/>
    <w:rsid w:val="00EB18C6"/>
    <w:rsid w:val="00EB4974"/>
    <w:rsid w:val="00EB5B51"/>
    <w:rsid w:val="00EB5EBC"/>
    <w:rsid w:val="00EB774B"/>
    <w:rsid w:val="00EB7BED"/>
    <w:rsid w:val="00EC13FD"/>
    <w:rsid w:val="00EC442E"/>
    <w:rsid w:val="00EC5D62"/>
    <w:rsid w:val="00EC6456"/>
    <w:rsid w:val="00EC6C5A"/>
    <w:rsid w:val="00EC79A8"/>
    <w:rsid w:val="00ED0C73"/>
    <w:rsid w:val="00ED246F"/>
    <w:rsid w:val="00ED3878"/>
    <w:rsid w:val="00ED3F4E"/>
    <w:rsid w:val="00ED409F"/>
    <w:rsid w:val="00ED5DB8"/>
    <w:rsid w:val="00ED62A9"/>
    <w:rsid w:val="00ED77C6"/>
    <w:rsid w:val="00ED78D0"/>
    <w:rsid w:val="00EE024D"/>
    <w:rsid w:val="00EE1BCD"/>
    <w:rsid w:val="00EE1C2F"/>
    <w:rsid w:val="00EE2252"/>
    <w:rsid w:val="00EE3D67"/>
    <w:rsid w:val="00EE4C70"/>
    <w:rsid w:val="00EE4ED0"/>
    <w:rsid w:val="00EE5CCE"/>
    <w:rsid w:val="00EE5DE6"/>
    <w:rsid w:val="00EE7694"/>
    <w:rsid w:val="00EF0D1C"/>
    <w:rsid w:val="00EF1D01"/>
    <w:rsid w:val="00EF1DF0"/>
    <w:rsid w:val="00EF2E47"/>
    <w:rsid w:val="00EF3473"/>
    <w:rsid w:val="00EF5A37"/>
    <w:rsid w:val="00F0216F"/>
    <w:rsid w:val="00F04BCA"/>
    <w:rsid w:val="00F12562"/>
    <w:rsid w:val="00F1337C"/>
    <w:rsid w:val="00F1414B"/>
    <w:rsid w:val="00F17B95"/>
    <w:rsid w:val="00F20724"/>
    <w:rsid w:val="00F21F78"/>
    <w:rsid w:val="00F248C6"/>
    <w:rsid w:val="00F25C60"/>
    <w:rsid w:val="00F30DDE"/>
    <w:rsid w:val="00F30FCA"/>
    <w:rsid w:val="00F3190C"/>
    <w:rsid w:val="00F32156"/>
    <w:rsid w:val="00F338F6"/>
    <w:rsid w:val="00F33DAB"/>
    <w:rsid w:val="00F34010"/>
    <w:rsid w:val="00F35162"/>
    <w:rsid w:val="00F354E7"/>
    <w:rsid w:val="00F3555F"/>
    <w:rsid w:val="00F35E81"/>
    <w:rsid w:val="00F360A6"/>
    <w:rsid w:val="00F40626"/>
    <w:rsid w:val="00F42819"/>
    <w:rsid w:val="00F42D89"/>
    <w:rsid w:val="00F44568"/>
    <w:rsid w:val="00F4567D"/>
    <w:rsid w:val="00F46514"/>
    <w:rsid w:val="00F46850"/>
    <w:rsid w:val="00F477F0"/>
    <w:rsid w:val="00F50F8B"/>
    <w:rsid w:val="00F52BAB"/>
    <w:rsid w:val="00F534B3"/>
    <w:rsid w:val="00F5565F"/>
    <w:rsid w:val="00F558F3"/>
    <w:rsid w:val="00F563C5"/>
    <w:rsid w:val="00F57548"/>
    <w:rsid w:val="00F61341"/>
    <w:rsid w:val="00F63159"/>
    <w:rsid w:val="00F63D55"/>
    <w:rsid w:val="00F64C5C"/>
    <w:rsid w:val="00F64D00"/>
    <w:rsid w:val="00F65003"/>
    <w:rsid w:val="00F65109"/>
    <w:rsid w:val="00F70273"/>
    <w:rsid w:val="00F735D4"/>
    <w:rsid w:val="00F74115"/>
    <w:rsid w:val="00F75D42"/>
    <w:rsid w:val="00F76645"/>
    <w:rsid w:val="00F770CE"/>
    <w:rsid w:val="00F7776F"/>
    <w:rsid w:val="00F836DD"/>
    <w:rsid w:val="00F83CC1"/>
    <w:rsid w:val="00F85E04"/>
    <w:rsid w:val="00F86214"/>
    <w:rsid w:val="00F868B0"/>
    <w:rsid w:val="00F875C8"/>
    <w:rsid w:val="00F9001F"/>
    <w:rsid w:val="00F93EEC"/>
    <w:rsid w:val="00F94D31"/>
    <w:rsid w:val="00F957D9"/>
    <w:rsid w:val="00F96133"/>
    <w:rsid w:val="00F9668B"/>
    <w:rsid w:val="00F974FB"/>
    <w:rsid w:val="00F97503"/>
    <w:rsid w:val="00F97CE8"/>
    <w:rsid w:val="00FA1100"/>
    <w:rsid w:val="00FA1F1C"/>
    <w:rsid w:val="00FA3AEC"/>
    <w:rsid w:val="00FA3B78"/>
    <w:rsid w:val="00FA6880"/>
    <w:rsid w:val="00FA6E37"/>
    <w:rsid w:val="00FA6E87"/>
    <w:rsid w:val="00FB044F"/>
    <w:rsid w:val="00FB0508"/>
    <w:rsid w:val="00FB0BDF"/>
    <w:rsid w:val="00FB2C89"/>
    <w:rsid w:val="00FB2D7F"/>
    <w:rsid w:val="00FB5467"/>
    <w:rsid w:val="00FB5E16"/>
    <w:rsid w:val="00FB65A5"/>
    <w:rsid w:val="00FB7099"/>
    <w:rsid w:val="00FC0817"/>
    <w:rsid w:val="00FC4950"/>
    <w:rsid w:val="00FC513D"/>
    <w:rsid w:val="00FC5DE1"/>
    <w:rsid w:val="00FC5FD8"/>
    <w:rsid w:val="00FC70D9"/>
    <w:rsid w:val="00FC75AF"/>
    <w:rsid w:val="00FD04C4"/>
    <w:rsid w:val="00FD2DFA"/>
    <w:rsid w:val="00FD5547"/>
    <w:rsid w:val="00FD61FA"/>
    <w:rsid w:val="00FD6734"/>
    <w:rsid w:val="00FE1CFD"/>
    <w:rsid w:val="00FE307D"/>
    <w:rsid w:val="00FE3A2D"/>
    <w:rsid w:val="00FE3B0E"/>
    <w:rsid w:val="00FE4495"/>
    <w:rsid w:val="00FE4A23"/>
    <w:rsid w:val="00FE5008"/>
    <w:rsid w:val="00FE59BA"/>
    <w:rsid w:val="00FE7955"/>
    <w:rsid w:val="00FF1A99"/>
    <w:rsid w:val="00FF23F7"/>
    <w:rsid w:val="00FF3DEC"/>
    <w:rsid w:val="00FF5756"/>
    <w:rsid w:val="00FF6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D82B3A-13EC-49B5-9E11-A011AB9E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009"/>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FA9"/>
    <w:rPr>
      <w:rFonts w:cs="Times New Roman"/>
      <w:color w:val="0000FF" w:themeColor="hyperlink"/>
      <w:u w:val="single"/>
    </w:rPr>
  </w:style>
  <w:style w:type="paragraph" w:customStyle="1" w:styleId="Style1">
    <w:name w:val="Style1"/>
    <w:basedOn w:val="Normal"/>
    <w:qFormat/>
    <w:rsid w:val="00292009"/>
    <w:pPr>
      <w:spacing w:after="0" w:line="240" w:lineRule="auto"/>
      <w:jc w:val="center"/>
    </w:pPr>
    <w:rPr>
      <w:rFonts w:asciiTheme="majorBidi" w:hAnsiTheme="majorBidi" w:cs="Times New Roman"/>
      <w:b/>
      <w:bCs/>
    </w:rPr>
  </w:style>
  <w:style w:type="paragraph" w:customStyle="1" w:styleId="Style2">
    <w:name w:val="Style2"/>
    <w:basedOn w:val="Normal"/>
    <w:qFormat/>
    <w:rsid w:val="00292009"/>
    <w:pPr>
      <w:spacing w:after="0" w:line="240" w:lineRule="auto"/>
      <w:jc w:val="center"/>
    </w:pPr>
    <w:rPr>
      <w:rFonts w:asciiTheme="majorBidi" w:hAnsiTheme="majorBidi" w:cs="Times New Roman"/>
      <w:b/>
      <w:bCs/>
    </w:rPr>
  </w:style>
  <w:style w:type="paragraph" w:styleId="ListParagraph">
    <w:name w:val="List Paragraph"/>
    <w:basedOn w:val="Normal"/>
    <w:uiPriority w:val="34"/>
    <w:qFormat/>
    <w:rsid w:val="00B02A3F"/>
    <w:pPr>
      <w:ind w:left="720"/>
      <w:contextualSpacing/>
    </w:pPr>
  </w:style>
  <w:style w:type="paragraph" w:styleId="FootnoteText">
    <w:name w:val="footnote text"/>
    <w:basedOn w:val="Normal"/>
    <w:link w:val="FootnoteTextChar"/>
    <w:uiPriority w:val="99"/>
    <w:unhideWhenUsed/>
    <w:rsid w:val="0085695B"/>
    <w:pPr>
      <w:spacing w:after="0" w:line="240" w:lineRule="auto"/>
    </w:pPr>
    <w:rPr>
      <w:sz w:val="20"/>
      <w:szCs w:val="20"/>
    </w:rPr>
  </w:style>
  <w:style w:type="character" w:customStyle="1" w:styleId="FootnoteTextChar">
    <w:name w:val="Footnote Text Char"/>
    <w:basedOn w:val="DefaultParagraphFont"/>
    <w:link w:val="FootnoteText"/>
    <w:uiPriority w:val="99"/>
    <w:locked/>
    <w:rsid w:val="0085695B"/>
    <w:rPr>
      <w:rFonts w:cs="Times New Roman"/>
      <w:sz w:val="20"/>
      <w:szCs w:val="20"/>
    </w:rPr>
  </w:style>
  <w:style w:type="character" w:styleId="FootnoteReference">
    <w:name w:val="footnote reference"/>
    <w:basedOn w:val="DefaultParagraphFont"/>
    <w:uiPriority w:val="99"/>
    <w:semiHidden/>
    <w:unhideWhenUsed/>
    <w:rsid w:val="0085695B"/>
    <w:rPr>
      <w:rFonts w:cs="Times New Roman"/>
      <w:vertAlign w:val="superscript"/>
    </w:rPr>
  </w:style>
  <w:style w:type="paragraph" w:styleId="Footer">
    <w:name w:val="footer"/>
    <w:basedOn w:val="Normal"/>
    <w:link w:val="FooterChar"/>
    <w:uiPriority w:val="99"/>
    <w:unhideWhenUsed/>
    <w:rsid w:val="007B24E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24EC"/>
    <w:rPr>
      <w:rFonts w:cs="Times New Roman"/>
    </w:rPr>
  </w:style>
  <w:style w:type="paragraph" w:customStyle="1" w:styleId="NoSpacing1">
    <w:name w:val="No Spacing1"/>
    <w:uiPriority w:val="1"/>
    <w:qFormat/>
    <w:rsid w:val="004A6A2F"/>
    <w:rPr>
      <w:rFonts w:ascii="Calibri" w:hAnsi="Calibri" w:cs="Times New Roman"/>
    </w:rPr>
  </w:style>
  <w:style w:type="paragraph" w:customStyle="1" w:styleId="ListParagraph1">
    <w:name w:val="List Paragraph1"/>
    <w:basedOn w:val="Normal"/>
    <w:uiPriority w:val="34"/>
    <w:qFormat/>
    <w:rsid w:val="00E5319D"/>
    <w:pPr>
      <w:ind w:left="720"/>
      <w:contextualSpacing/>
    </w:pPr>
    <w:rPr>
      <w:rFonts w:ascii="Calibri" w:hAnsi="Calibri" w:cs="Times New Roman"/>
    </w:rPr>
  </w:style>
  <w:style w:type="paragraph" w:styleId="Header">
    <w:name w:val="header"/>
    <w:basedOn w:val="Normal"/>
    <w:link w:val="HeaderChar"/>
    <w:uiPriority w:val="99"/>
    <w:unhideWhenUsed/>
    <w:rsid w:val="004F24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F24A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hirah_el_ayyubiyah@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n.padang.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7C1B-018E-4643-8280-B745B3FB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6948</Words>
  <Characters>39607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vivi</cp:lastModifiedBy>
  <cp:revision>2</cp:revision>
  <cp:lastPrinted>2018-12-16T02:59:00Z</cp:lastPrinted>
  <dcterms:created xsi:type="dcterms:W3CDTF">2019-07-31T01:31:00Z</dcterms:created>
  <dcterms:modified xsi:type="dcterms:W3CDTF">2019-07-31T01:31:00Z</dcterms:modified>
</cp:coreProperties>
</file>